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color w:val="000000"/>
          <w:sz w:val="96"/>
          <w:szCs w:val="96"/>
        </w:rPr>
      </w:pPr>
      <w:r>
        <w:rPr>
          <w:sz w:val="84"/>
          <w:szCs w:val="84"/>
        </w:rPr>
        <w:t>201</w:t>
      </w:r>
      <w:r>
        <w:rPr>
          <w:rFonts w:hint="eastAsia"/>
          <w:sz w:val="84"/>
          <w:szCs w:val="84"/>
        </w:rPr>
        <w:t>8</w:t>
      </w:r>
      <w:r>
        <w:rPr>
          <w:sz w:val="84"/>
          <w:szCs w:val="84"/>
        </w:rPr>
        <w:t>年度部门决算公开</w:t>
      </w:r>
    </w:p>
    <w:p>
      <w:pPr>
        <w:widowControl/>
        <w:jc w:val="center"/>
        <w:rPr>
          <w:rFonts w:ascii="黑体" w:hAnsi="宋体" w:eastAsia="黑体"/>
          <w:color w:val="002060"/>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rPr>
          <w:rFonts w:ascii="楷体" w:hAnsi="楷体" w:eastAsia="楷体" w:cs="楷体"/>
          <w:b/>
          <w:sz w:val="36"/>
          <w:szCs w:val="36"/>
        </w:rPr>
        <w:sectPr>
          <w:pgSz w:w="11906" w:h="16838"/>
          <w:pgMar w:top="2098" w:right="1474" w:bottom="1985" w:left="1588" w:header="851" w:footer="992" w:gutter="0"/>
          <w:cols w:space="720" w:num="1"/>
          <w:docGrid w:type="lines" w:linePitch="312" w:charSpace="0"/>
        </w:sectPr>
      </w:pPr>
      <w:r>
        <w:rPr>
          <w:rFonts w:hint="eastAsia"/>
          <w:b/>
          <w:sz w:val="36"/>
          <w:szCs w:val="36"/>
          <w:lang w:val="en-US" w:eastAsia="zh-CN"/>
        </w:rPr>
        <w:t xml:space="preserve">    霸州</w:t>
      </w:r>
      <w:r>
        <w:rPr>
          <w:b/>
          <w:sz w:val="36"/>
          <w:szCs w:val="36"/>
        </w:rPr>
        <w:t>市</w:t>
      </w:r>
      <w:r>
        <w:rPr>
          <w:rFonts w:hint="eastAsia"/>
          <w:b/>
          <w:sz w:val="36"/>
          <w:szCs w:val="36"/>
          <w:lang w:eastAsia="zh-CN"/>
        </w:rPr>
        <w:t>工商行政管理和食品药品监督管理局</w:t>
      </w:r>
    </w:p>
    <w:p>
      <w:pPr>
        <w:spacing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w:t>
      </w:r>
      <w:r>
        <w:rPr>
          <w:rFonts w:hint="eastAsia" w:eastAsia="黑体"/>
          <w:sz w:val="32"/>
          <w:szCs w:val="32"/>
          <w:lang w:val="en-US" w:eastAsia="zh-CN"/>
        </w:rPr>
        <w:t xml:space="preserve">   霸州</w:t>
      </w:r>
      <w:r>
        <w:rPr>
          <w:rFonts w:hint="eastAsia" w:eastAsia="黑体"/>
          <w:sz w:val="32"/>
          <w:szCs w:val="32"/>
        </w:rPr>
        <w:t>市</w:t>
      </w:r>
      <w:r>
        <w:rPr>
          <w:rFonts w:hint="eastAsia" w:eastAsia="黑体"/>
          <w:sz w:val="32"/>
          <w:szCs w:val="32"/>
          <w:lang w:eastAsia="zh-CN"/>
        </w:rPr>
        <w:t>工商行政管理和食品药品监督管理局部门</w:t>
      </w:r>
      <w:r>
        <w:rPr>
          <w:rFonts w:hint="eastAsia" w:eastAsia="黑体"/>
          <w:sz w:val="32"/>
          <w:szCs w:val="32"/>
        </w:rPr>
        <w:t>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 xml:space="preserve">第二部分   </w:t>
      </w:r>
      <w:r>
        <w:rPr>
          <w:rFonts w:hint="eastAsia" w:eastAsia="黑体"/>
          <w:sz w:val="32"/>
          <w:szCs w:val="32"/>
          <w:lang w:val="en-US" w:eastAsia="zh-CN"/>
        </w:rPr>
        <w:t>霸州</w:t>
      </w:r>
      <w:r>
        <w:rPr>
          <w:rFonts w:hint="eastAsia" w:eastAsia="黑体"/>
          <w:sz w:val="32"/>
          <w:szCs w:val="32"/>
        </w:rPr>
        <w:t>市</w:t>
      </w:r>
      <w:r>
        <w:rPr>
          <w:rFonts w:hint="eastAsia" w:eastAsia="黑体"/>
          <w:sz w:val="32"/>
          <w:szCs w:val="32"/>
          <w:lang w:eastAsia="zh-CN"/>
        </w:rPr>
        <w:t>工商行政管理和食品药品监督管理局</w:t>
      </w:r>
      <w:r>
        <w:rPr>
          <w:rFonts w:eastAsia="黑体"/>
          <w:sz w:val="32"/>
          <w:szCs w:val="32"/>
        </w:rPr>
        <w:t>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lang w:val="en-US" w:eastAsia="zh-CN"/>
        </w:rPr>
        <w:t>霸州</w:t>
      </w:r>
      <w:r>
        <w:rPr>
          <w:rFonts w:eastAsia="黑体"/>
          <w:sz w:val="32"/>
          <w:szCs w:val="32"/>
        </w:rPr>
        <w:t>市</w:t>
      </w:r>
      <w:r>
        <w:rPr>
          <w:rFonts w:hint="eastAsia" w:eastAsia="黑体"/>
          <w:sz w:val="32"/>
          <w:szCs w:val="32"/>
          <w:lang w:eastAsia="zh-CN"/>
        </w:rPr>
        <w:t>工商行政管理和食品药品监督管理局</w:t>
      </w:r>
      <w:r>
        <w:rPr>
          <w:rFonts w:eastAsia="黑体"/>
          <w:sz w:val="32"/>
          <w:szCs w:val="32"/>
        </w:rPr>
        <w:t>部门201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
    <w:p/>
    <w:p/>
    <w:p/>
    <w:p/>
    <w:p>
      <w:pPr>
        <w:widowControl/>
        <w:jc w:val="center"/>
        <w:rPr>
          <w:color w:val="000000"/>
          <w:sz w:val="96"/>
          <w:szCs w:val="96"/>
        </w:rPr>
      </w:pPr>
      <w:r>
        <w:rPr>
          <w:rFonts w:hint="eastAsia" w:ascii="黑体" w:hAnsi="宋体" w:eastAsia="黑体"/>
          <w:color w:val="000000"/>
          <w:sz w:val="96"/>
          <w:szCs w:val="96"/>
        </w:rPr>
        <w:t>第一部分  部门概况</w:t>
      </w:r>
    </w:p>
    <w:p/>
    <w:p/>
    <w:p/>
    <w:p/>
    <w:p/>
    <w:p/>
    <w:p/>
    <w:p/>
    <w:p>
      <w:pPr>
        <w:pStyle w:val="2"/>
        <w:numPr>
          <w:ilvl w:val="0"/>
          <w:numId w:val="1"/>
        </w:numPr>
        <w:spacing w:before="0" w:after="0" w:line="600" w:lineRule="exact"/>
        <w:jc w:val="left"/>
        <w:rPr>
          <w:rFonts w:hint="eastAsia" w:ascii="黑体" w:hAnsi="Cambria" w:eastAsia="黑体" w:cs="黑体"/>
          <w:b w:val="0"/>
          <w:bCs w:val="0"/>
          <w:kern w:val="0"/>
          <w:sz w:val="32"/>
          <w:szCs w:val="32"/>
        </w:rPr>
      </w:pPr>
      <w:r>
        <w:rPr>
          <w:rFonts w:hint="eastAsia" w:ascii="黑体" w:hAnsi="Cambria" w:eastAsia="黑体" w:cs="黑体"/>
          <w:b w:val="0"/>
          <w:bCs w:val="0"/>
          <w:kern w:val="0"/>
          <w:sz w:val="32"/>
          <w:szCs w:val="32"/>
        </w:rPr>
        <w:t>部门职责</w:t>
      </w:r>
    </w:p>
    <w:p>
      <w:pPr>
        <w:widowControl w:val="0"/>
        <w:wordWrap/>
        <w:adjustRightInd/>
        <w:snapToGrid/>
        <w:spacing w:after="0" w:line="560" w:lineRule="exact"/>
        <w:ind w:left="420" w:leftChars="200" w:right="0" w:firstLine="0" w:firstLineChars="0"/>
        <w:jc w:val="both"/>
        <w:textAlignment w:val="auto"/>
        <w:outlineLvl w:val="9"/>
        <w:rPr>
          <w:rFonts w:hint="eastAsia" w:ascii="??_GB2312" w:hAnsi="Cambria" w:eastAsia="Times New Roman" w:cs="ArialUnicodeMS"/>
          <w:kern w:val="0"/>
          <w:sz w:val="32"/>
          <w:szCs w:val="32"/>
        </w:rPr>
      </w:pPr>
      <w:r>
        <w:rPr>
          <w:rFonts w:hint="eastAsia"/>
          <w:lang w:val="en-US" w:eastAsia="zh-CN"/>
        </w:rPr>
        <w:t xml:space="preserve">   </w:t>
      </w:r>
      <w:r>
        <w:rPr>
          <w:rFonts w:hint="eastAsia" w:ascii="??_GB2312" w:hAnsi="Cambria" w:eastAsia="Times New Roman" w:cs="ArialUnicodeMS"/>
          <w:kern w:val="0"/>
          <w:sz w:val="32"/>
          <w:szCs w:val="32"/>
          <w:lang w:val="en-US" w:eastAsia="zh-CN"/>
        </w:rPr>
        <w:t xml:space="preserve"> </w:t>
      </w:r>
      <w:r>
        <w:rPr>
          <w:rFonts w:hint="eastAsia" w:ascii="??_GB2312" w:hAnsi="Cambria" w:eastAsia="Times New Roman" w:cs="ArialUnicodeMS"/>
          <w:kern w:val="0"/>
          <w:sz w:val="32"/>
          <w:szCs w:val="32"/>
        </w:rPr>
        <w:t>（一）贯彻执行国家、省、廊坊市关于食品（含食品添加剂、保健食品，下同）、药品（含中药、民族药，下同）、医疗器械、化妆品监督管理和工商行政管理的法律法规和方针政策，落实省、廊坊市、霸州市委、市政府的工作部署；拟订并组织实施全市食品药品监督管理和工商行政管理的措施办法。</w:t>
      </w:r>
    </w:p>
    <w:p>
      <w:pPr>
        <w:widowControl w:val="0"/>
        <w:wordWrap/>
        <w:adjustRightInd/>
        <w:snapToGrid/>
        <w:spacing w:after="0" w:line="560" w:lineRule="exact"/>
        <w:ind w:left="420" w:leftChars="200" w:right="0" w:firstLine="0" w:firstLineChars="0"/>
        <w:jc w:val="both"/>
        <w:textAlignment w:val="auto"/>
        <w:outlineLvl w:val="9"/>
        <w:rPr>
          <w:rFonts w:hint="eastAsia" w:ascii="??_GB2312" w:hAnsi="Cambria" w:eastAsia="Times New Roman" w:cs="ArialUnicodeMS"/>
          <w:kern w:val="0"/>
          <w:sz w:val="32"/>
          <w:szCs w:val="32"/>
        </w:rPr>
      </w:pPr>
      <w:r>
        <w:rPr>
          <w:rFonts w:hint="eastAsia" w:ascii="??_GB2312" w:hAnsi="Cambria" w:cs="ArialUnicodeMS"/>
          <w:kern w:val="0"/>
          <w:sz w:val="32"/>
          <w:szCs w:val="32"/>
          <w:lang w:val="en-US" w:eastAsia="zh-CN"/>
        </w:rPr>
        <w:t xml:space="preserve">   </w:t>
      </w:r>
      <w:r>
        <w:rPr>
          <w:rFonts w:hint="eastAsia" w:ascii="??_GB2312" w:hAnsi="Cambria" w:eastAsia="Times New Roman" w:cs="ArialUnicodeMS"/>
          <w:kern w:val="0"/>
          <w:sz w:val="32"/>
          <w:szCs w:val="32"/>
        </w:rPr>
        <w:t>（二）建立完善地方食品、药品、医疗器械、化妆品监管制度，推动建立落实企业主体责任和各级政府负总责的机制，并组织实施和监督检查。</w:t>
      </w:r>
    </w:p>
    <w:p>
      <w:pPr>
        <w:widowControl w:val="0"/>
        <w:wordWrap/>
        <w:adjustRightInd/>
        <w:snapToGrid/>
        <w:spacing w:after="0" w:line="560" w:lineRule="exact"/>
        <w:ind w:left="420" w:leftChars="200" w:right="0" w:firstLine="0" w:firstLineChars="0"/>
        <w:jc w:val="both"/>
        <w:textAlignment w:val="auto"/>
        <w:outlineLvl w:val="9"/>
        <w:rPr>
          <w:rFonts w:hint="eastAsia" w:ascii="??_GB2312" w:hAnsi="Cambria" w:eastAsia="Times New Roman" w:cs="ArialUnicodeMS"/>
          <w:kern w:val="0"/>
          <w:sz w:val="32"/>
          <w:szCs w:val="32"/>
        </w:rPr>
      </w:pPr>
      <w:r>
        <w:rPr>
          <w:rFonts w:hint="eastAsia" w:ascii="??_GB2312" w:hAnsi="Cambria" w:eastAsia="Times New Roman" w:cs="ArialUnicodeMS"/>
          <w:kern w:val="0"/>
          <w:sz w:val="32"/>
          <w:szCs w:val="32"/>
        </w:rPr>
        <w:t xml:space="preserve">   （三）承担全市食品（含酒类）生产、流通、消费环节安全监督管理工作；负责制定食品行政许可的实施办法并监督实施。参与制定食品安全风险监测方案、食品安全地方标准，根据食品安全风险监测方案开展食品安全风险监测。建立完善全市食品安全隐患排查治理机制，制定全市食品安全检查年度计划、重大整顿治理方案并组织落实。</w:t>
      </w:r>
    </w:p>
    <w:p>
      <w:pPr>
        <w:widowControl w:val="0"/>
        <w:wordWrap/>
        <w:adjustRightInd/>
        <w:snapToGrid/>
        <w:spacing w:after="0" w:line="560" w:lineRule="exact"/>
        <w:ind w:left="420" w:leftChars="200" w:right="0" w:firstLine="0" w:firstLineChars="0"/>
        <w:jc w:val="both"/>
        <w:textAlignment w:val="auto"/>
        <w:outlineLvl w:val="9"/>
        <w:rPr>
          <w:rFonts w:hint="eastAsia" w:ascii="??_GB2312" w:hAnsi="Cambria" w:eastAsia="Times New Roman" w:cs="ArialUnicodeMS"/>
          <w:kern w:val="0"/>
          <w:sz w:val="32"/>
          <w:szCs w:val="32"/>
        </w:rPr>
      </w:pPr>
      <w:r>
        <w:rPr>
          <w:rFonts w:hint="eastAsia" w:ascii="??_GB2312" w:hAnsi="Cambria" w:eastAsia="Times New Roman" w:cs="ArialUnicodeMS"/>
          <w:kern w:val="0"/>
          <w:sz w:val="32"/>
          <w:szCs w:val="32"/>
        </w:rPr>
        <w:t xml:space="preserve">   （四）负责药品、医疗器械监督管理，监督实施国家药品、医疗器械标准，监督实施药品和医疗器械研制、生产、经营、使用方面的质量管理规范；负责制定药品、医疗器械行政许可的实施办法并监督实施；建立药品不良反应、医疗器械不良事件和药物滥用监测体系，并开展监测和处置工作，配合实施国家基本药物制度。</w:t>
      </w:r>
    </w:p>
    <w:p>
      <w:pPr>
        <w:widowControl w:val="0"/>
        <w:wordWrap/>
        <w:adjustRightInd/>
        <w:snapToGrid/>
        <w:spacing w:after="0" w:line="560" w:lineRule="exact"/>
        <w:ind w:left="420" w:leftChars="200" w:right="0" w:firstLine="0" w:firstLineChars="0"/>
        <w:jc w:val="both"/>
        <w:textAlignment w:val="auto"/>
        <w:outlineLvl w:val="9"/>
        <w:rPr>
          <w:rFonts w:hint="eastAsia" w:ascii="??_GB2312" w:hAnsi="Cambria" w:eastAsia="Times New Roman" w:cs="ArialUnicodeMS"/>
          <w:kern w:val="0"/>
          <w:sz w:val="32"/>
          <w:szCs w:val="32"/>
        </w:rPr>
      </w:pPr>
      <w:r>
        <w:rPr>
          <w:rFonts w:hint="eastAsia" w:ascii="??_GB2312" w:hAnsi="Cambria" w:eastAsia="Times New Roman" w:cs="ArialUnicodeMS"/>
          <w:kern w:val="0"/>
          <w:sz w:val="32"/>
          <w:szCs w:val="32"/>
        </w:rPr>
        <w:t xml:space="preserve">    （五）负责化妆品的监督管理和全市化妆品不良反应监测的管理。</w:t>
      </w:r>
    </w:p>
    <w:p>
      <w:pPr>
        <w:widowControl w:val="0"/>
        <w:wordWrap/>
        <w:adjustRightInd/>
        <w:snapToGrid/>
        <w:spacing w:after="0" w:line="560" w:lineRule="exact"/>
        <w:ind w:left="420" w:leftChars="200" w:right="0" w:firstLine="0" w:firstLineChars="0"/>
        <w:jc w:val="both"/>
        <w:textAlignment w:val="auto"/>
        <w:outlineLvl w:val="9"/>
        <w:rPr>
          <w:rFonts w:hint="eastAsia" w:ascii="??_GB2312" w:hAnsi="Cambria" w:eastAsia="Times New Roman" w:cs="ArialUnicodeMS"/>
          <w:kern w:val="0"/>
          <w:sz w:val="32"/>
          <w:szCs w:val="32"/>
        </w:rPr>
      </w:pPr>
      <w:r>
        <w:rPr>
          <w:rFonts w:hint="eastAsia" w:ascii="??_GB2312" w:hAnsi="Cambria" w:eastAsia="Times New Roman" w:cs="ArialUnicodeMS"/>
          <w:kern w:val="0"/>
          <w:sz w:val="32"/>
          <w:szCs w:val="32"/>
        </w:rPr>
        <w:t xml:space="preserve">    （六）监督实施中药材生产质量管理规范、中药饮片炮制规范。依法实施中药品种保护制度。</w:t>
      </w:r>
    </w:p>
    <w:p>
      <w:pPr>
        <w:widowControl w:val="0"/>
        <w:wordWrap/>
        <w:adjustRightInd/>
        <w:snapToGrid/>
        <w:spacing w:after="0" w:line="560" w:lineRule="exact"/>
        <w:ind w:left="420" w:leftChars="200" w:right="0" w:firstLine="0" w:firstLineChars="0"/>
        <w:jc w:val="both"/>
        <w:textAlignment w:val="auto"/>
        <w:outlineLvl w:val="9"/>
        <w:rPr>
          <w:rFonts w:hint="eastAsia" w:ascii="??_GB2312" w:hAnsi="Cambria" w:eastAsia="Times New Roman" w:cs="ArialUnicodeMS"/>
          <w:kern w:val="0"/>
          <w:sz w:val="32"/>
          <w:szCs w:val="32"/>
        </w:rPr>
      </w:pPr>
      <w:r>
        <w:rPr>
          <w:rFonts w:hint="eastAsia" w:ascii="??_GB2312" w:hAnsi="Cambria" w:eastAsia="Times New Roman" w:cs="ArialUnicodeMS"/>
          <w:kern w:val="0"/>
          <w:sz w:val="32"/>
          <w:szCs w:val="32"/>
        </w:rPr>
        <w:t xml:space="preserve">    （七）负责制定食品、药品、医疗器械、化妆品监督管理的稽查制度并组织实施，组织查处重大违法行为。监督实施问题产品召回和处置制度。</w:t>
      </w:r>
    </w:p>
    <w:p>
      <w:pPr>
        <w:widowControl w:val="0"/>
        <w:wordWrap/>
        <w:adjustRightInd/>
        <w:snapToGrid/>
        <w:spacing w:after="0" w:line="560" w:lineRule="exact"/>
        <w:ind w:left="420" w:leftChars="200" w:right="0" w:firstLine="0" w:firstLineChars="0"/>
        <w:jc w:val="both"/>
        <w:textAlignment w:val="auto"/>
        <w:outlineLvl w:val="9"/>
        <w:rPr>
          <w:rFonts w:hint="eastAsia" w:ascii="??_GB2312" w:hAnsi="Cambria" w:eastAsia="Times New Roman" w:cs="ArialUnicodeMS"/>
          <w:kern w:val="0"/>
          <w:sz w:val="32"/>
          <w:szCs w:val="32"/>
        </w:rPr>
      </w:pPr>
      <w:r>
        <w:rPr>
          <w:rFonts w:hint="eastAsia" w:ascii="??_GB2312" w:hAnsi="Cambria" w:eastAsia="Times New Roman" w:cs="ArialUnicodeMS"/>
          <w:kern w:val="0"/>
          <w:sz w:val="32"/>
          <w:szCs w:val="32"/>
        </w:rPr>
        <w:t xml:space="preserve">    （八）负责食品药品安全事故应急体系建设，组织指导食品药品安全事故应急处置和调查处理工作，监督事故查处落实情况。</w:t>
      </w:r>
    </w:p>
    <w:p>
      <w:pPr>
        <w:widowControl w:val="0"/>
        <w:wordWrap/>
        <w:adjustRightInd/>
        <w:snapToGrid/>
        <w:spacing w:after="0" w:line="560" w:lineRule="exact"/>
        <w:ind w:left="420" w:leftChars="200" w:right="0" w:firstLine="0" w:firstLineChars="0"/>
        <w:jc w:val="both"/>
        <w:textAlignment w:val="auto"/>
        <w:outlineLvl w:val="9"/>
        <w:rPr>
          <w:rFonts w:hint="eastAsia" w:ascii="??_GB2312" w:hAnsi="Cambria" w:eastAsia="Times New Roman" w:cs="ArialUnicodeMS"/>
          <w:kern w:val="0"/>
          <w:sz w:val="32"/>
          <w:szCs w:val="32"/>
        </w:rPr>
      </w:pPr>
      <w:r>
        <w:rPr>
          <w:rFonts w:hint="eastAsia" w:ascii="??_GB2312" w:hAnsi="Cambria" w:eastAsia="Times New Roman" w:cs="ArialUnicodeMS"/>
          <w:kern w:val="0"/>
          <w:sz w:val="32"/>
          <w:szCs w:val="32"/>
        </w:rPr>
        <w:t xml:space="preserve">    （九）负责建立食品、药品、医疗器械、化妆品安全信息统一公布制度和重大信息直报制度，公布重大安全信息。负责对食品、药品、医疗器械、化妆品等广告进行检查和监测。</w:t>
      </w:r>
    </w:p>
    <w:p>
      <w:pPr>
        <w:widowControl w:val="0"/>
        <w:wordWrap/>
        <w:adjustRightInd/>
        <w:snapToGrid/>
        <w:spacing w:after="0" w:line="560" w:lineRule="exact"/>
        <w:ind w:left="420" w:leftChars="200" w:right="0" w:firstLine="0" w:firstLineChars="0"/>
        <w:jc w:val="both"/>
        <w:textAlignment w:val="auto"/>
        <w:outlineLvl w:val="9"/>
        <w:rPr>
          <w:rFonts w:hint="eastAsia" w:ascii="??_GB2312" w:hAnsi="Cambria" w:eastAsia="Times New Roman" w:cs="ArialUnicodeMS"/>
          <w:kern w:val="0"/>
          <w:sz w:val="32"/>
          <w:szCs w:val="32"/>
        </w:rPr>
      </w:pPr>
      <w:r>
        <w:rPr>
          <w:rFonts w:hint="eastAsia" w:ascii="??_GB2312" w:hAnsi="Cambria" w:eastAsia="Times New Roman" w:cs="ArialUnicodeMS"/>
          <w:kern w:val="0"/>
          <w:sz w:val="32"/>
          <w:szCs w:val="32"/>
        </w:rPr>
        <w:t xml:space="preserve">    （十）负责制定全市食品药品安全科技发展规划并组织实施，推动食品药品检验检测体系、电子监管追溯体系和信息化建设。</w:t>
      </w:r>
    </w:p>
    <w:p>
      <w:pPr>
        <w:widowControl w:val="0"/>
        <w:wordWrap/>
        <w:adjustRightInd/>
        <w:snapToGrid/>
        <w:spacing w:after="0" w:line="560" w:lineRule="exact"/>
        <w:ind w:left="420" w:leftChars="200" w:right="0" w:firstLine="0" w:firstLineChars="0"/>
        <w:jc w:val="both"/>
        <w:textAlignment w:val="auto"/>
        <w:outlineLvl w:val="9"/>
        <w:rPr>
          <w:rFonts w:hint="eastAsia" w:ascii="??_GB2312" w:hAnsi="Cambria" w:eastAsia="Times New Roman" w:cs="ArialUnicodeMS"/>
          <w:kern w:val="0"/>
          <w:sz w:val="32"/>
          <w:szCs w:val="32"/>
        </w:rPr>
      </w:pPr>
      <w:r>
        <w:rPr>
          <w:rFonts w:hint="eastAsia" w:ascii="??_GB2312" w:hAnsi="Cambria" w:eastAsia="Times New Roman" w:cs="ArialUnicodeMS"/>
          <w:kern w:val="0"/>
          <w:sz w:val="32"/>
          <w:szCs w:val="32"/>
        </w:rPr>
        <w:t xml:space="preserve">    （十一）负责开展食品药品安全宣传、教育培训、交流合作。推进诚信体系建设。</w:t>
      </w:r>
    </w:p>
    <w:p>
      <w:pPr>
        <w:widowControl w:val="0"/>
        <w:wordWrap/>
        <w:adjustRightInd/>
        <w:snapToGrid/>
        <w:spacing w:after="0" w:line="560" w:lineRule="exact"/>
        <w:ind w:left="420" w:leftChars="200" w:right="0" w:firstLine="0" w:firstLineChars="0"/>
        <w:jc w:val="both"/>
        <w:textAlignment w:val="auto"/>
        <w:outlineLvl w:val="9"/>
        <w:rPr>
          <w:rFonts w:hint="eastAsia" w:ascii="??_GB2312" w:hAnsi="Cambria" w:eastAsia="Times New Roman" w:cs="ArialUnicodeMS"/>
          <w:kern w:val="0"/>
          <w:sz w:val="32"/>
          <w:szCs w:val="32"/>
        </w:rPr>
      </w:pPr>
      <w:r>
        <w:rPr>
          <w:rFonts w:hint="eastAsia" w:ascii="??_GB2312" w:hAnsi="Cambria" w:eastAsia="Times New Roman" w:cs="ArialUnicodeMS"/>
          <w:kern w:val="0"/>
          <w:sz w:val="32"/>
          <w:szCs w:val="32"/>
        </w:rPr>
        <w:t xml:space="preserve">    （十二）按规定组织实施食品药品等从业人员的培训和执业资格准入制度。</w:t>
      </w:r>
    </w:p>
    <w:p>
      <w:pPr>
        <w:widowControl w:val="0"/>
        <w:wordWrap/>
        <w:adjustRightInd/>
        <w:snapToGrid/>
        <w:spacing w:after="0" w:line="560" w:lineRule="exact"/>
        <w:ind w:left="420" w:leftChars="200" w:right="0" w:firstLine="0" w:firstLineChars="0"/>
        <w:jc w:val="both"/>
        <w:textAlignment w:val="auto"/>
        <w:outlineLvl w:val="9"/>
        <w:rPr>
          <w:rFonts w:hint="eastAsia" w:ascii="??_GB2312" w:hAnsi="Cambria" w:eastAsia="Times New Roman" w:cs="ArialUnicodeMS"/>
          <w:kern w:val="0"/>
          <w:sz w:val="32"/>
          <w:szCs w:val="32"/>
        </w:rPr>
      </w:pPr>
      <w:r>
        <w:rPr>
          <w:rFonts w:hint="eastAsia" w:ascii="??_GB2312" w:hAnsi="Cambria" w:eastAsia="Times New Roman" w:cs="ArialUnicodeMS"/>
          <w:kern w:val="0"/>
          <w:sz w:val="32"/>
          <w:szCs w:val="32"/>
        </w:rPr>
        <w:t xml:space="preserve">    （十三）负责指导和监督全市食品药品监督管理工作，规范行政执法行为，推动完善行政执法与刑事司法衔接机制。</w:t>
      </w:r>
    </w:p>
    <w:p>
      <w:pPr>
        <w:widowControl w:val="0"/>
        <w:wordWrap/>
        <w:adjustRightInd/>
        <w:snapToGrid/>
        <w:spacing w:after="0" w:line="560" w:lineRule="exact"/>
        <w:ind w:left="420" w:leftChars="200" w:right="0" w:firstLine="0" w:firstLineChars="0"/>
        <w:jc w:val="both"/>
        <w:textAlignment w:val="auto"/>
        <w:outlineLvl w:val="9"/>
        <w:rPr>
          <w:rFonts w:hint="eastAsia" w:ascii="??_GB2312" w:hAnsi="Cambria" w:eastAsia="Times New Roman" w:cs="ArialUnicodeMS"/>
          <w:kern w:val="0"/>
          <w:sz w:val="32"/>
          <w:szCs w:val="32"/>
        </w:rPr>
      </w:pPr>
      <w:r>
        <w:rPr>
          <w:rFonts w:hint="eastAsia" w:ascii="??_GB2312" w:hAnsi="Cambria" w:eastAsia="Times New Roman" w:cs="ArialUnicodeMS"/>
          <w:kern w:val="0"/>
          <w:sz w:val="32"/>
          <w:szCs w:val="32"/>
        </w:rPr>
        <w:t xml:space="preserve">    （十四）承担霸州市人民政府食品安全委员会日常工作。负责食品安全监督管理综合协调，推动健全协调联动机制。</w:t>
      </w:r>
    </w:p>
    <w:p>
      <w:pPr>
        <w:widowControl w:val="0"/>
        <w:wordWrap/>
        <w:adjustRightInd/>
        <w:snapToGrid/>
        <w:spacing w:after="0" w:line="560" w:lineRule="exact"/>
        <w:ind w:left="420" w:leftChars="200" w:right="0" w:firstLine="0" w:firstLineChars="0"/>
        <w:jc w:val="both"/>
        <w:textAlignment w:val="auto"/>
        <w:outlineLvl w:val="9"/>
        <w:rPr>
          <w:rFonts w:hint="eastAsia" w:ascii="??_GB2312" w:hAnsi="Cambria" w:eastAsia="Times New Roman" w:cs="ArialUnicodeMS"/>
          <w:kern w:val="0"/>
          <w:sz w:val="32"/>
          <w:szCs w:val="32"/>
        </w:rPr>
      </w:pPr>
      <w:r>
        <w:rPr>
          <w:rFonts w:hint="eastAsia" w:ascii="??_GB2312" w:hAnsi="Cambria" w:eastAsia="Times New Roman" w:cs="ArialUnicodeMS"/>
          <w:kern w:val="0"/>
          <w:sz w:val="32"/>
          <w:szCs w:val="32"/>
        </w:rPr>
        <w:t>（十五）按照业务权限负责全市各类企业、农民专业合作社和从事经营活动的单位、个人以及外国（地区）企业驻辖区代表机构等市场主体的登记注册和监督管理。在市政府领导下，按照职责分工依法查处取缔无照经营。</w:t>
      </w:r>
    </w:p>
    <w:p>
      <w:pPr>
        <w:widowControl w:val="0"/>
        <w:wordWrap/>
        <w:adjustRightInd/>
        <w:snapToGrid/>
        <w:spacing w:after="0" w:line="560" w:lineRule="exact"/>
        <w:ind w:left="420" w:leftChars="200" w:right="0" w:firstLine="0" w:firstLineChars="0"/>
        <w:jc w:val="both"/>
        <w:textAlignment w:val="auto"/>
        <w:outlineLvl w:val="9"/>
        <w:rPr>
          <w:rFonts w:hint="eastAsia" w:ascii="??_GB2312" w:hAnsi="Cambria" w:eastAsia="Times New Roman" w:cs="ArialUnicodeMS"/>
          <w:kern w:val="0"/>
          <w:sz w:val="32"/>
          <w:szCs w:val="32"/>
        </w:rPr>
      </w:pPr>
      <w:r>
        <w:rPr>
          <w:rFonts w:hint="eastAsia" w:ascii="??_GB2312" w:hAnsi="Cambria" w:eastAsia="Times New Roman" w:cs="ArialUnicodeMS"/>
          <w:kern w:val="0"/>
          <w:sz w:val="32"/>
          <w:szCs w:val="32"/>
        </w:rPr>
        <w:t xml:space="preserve">    （十六）依法负责全市各类市场监督管理和行政执法工作。负责依法规范和维护各类市场经营秩序，监督管理市场交易行为和网络商品交易及有关服务的行为。</w:t>
      </w:r>
    </w:p>
    <w:p>
      <w:pPr>
        <w:widowControl w:val="0"/>
        <w:wordWrap/>
        <w:adjustRightInd/>
        <w:snapToGrid/>
        <w:spacing w:after="0" w:line="560" w:lineRule="exact"/>
        <w:ind w:left="420" w:leftChars="200" w:right="0" w:firstLine="0" w:firstLineChars="0"/>
        <w:jc w:val="both"/>
        <w:textAlignment w:val="auto"/>
        <w:outlineLvl w:val="9"/>
        <w:rPr>
          <w:rFonts w:hint="eastAsia" w:ascii="??_GB2312" w:hAnsi="Cambria" w:eastAsia="Times New Roman" w:cs="ArialUnicodeMS"/>
          <w:kern w:val="0"/>
          <w:sz w:val="32"/>
          <w:szCs w:val="32"/>
        </w:rPr>
      </w:pPr>
      <w:r>
        <w:rPr>
          <w:rFonts w:hint="eastAsia" w:ascii="??_GB2312" w:hAnsi="Cambria" w:eastAsia="Times New Roman" w:cs="ArialUnicodeMS"/>
          <w:kern w:val="0"/>
          <w:sz w:val="32"/>
          <w:szCs w:val="32"/>
        </w:rPr>
        <w:t xml:space="preserve">    （十六）在市政府领导下，依法监督管理流通领域商品质量，组织开展有关服务领域消费维权工作，按分工查处假冒伪劣等违法行为，指导消费者咨询、申诉、举报受理、处理和网络体系建设等工作，保护消费者、经营者合法权益。</w:t>
      </w:r>
    </w:p>
    <w:p>
      <w:pPr>
        <w:widowControl w:val="0"/>
        <w:wordWrap/>
        <w:adjustRightInd/>
        <w:snapToGrid/>
        <w:spacing w:after="0" w:line="560" w:lineRule="exact"/>
        <w:ind w:left="420" w:leftChars="200" w:right="0" w:firstLine="0" w:firstLineChars="0"/>
        <w:jc w:val="both"/>
        <w:textAlignment w:val="auto"/>
        <w:outlineLvl w:val="9"/>
        <w:rPr>
          <w:rFonts w:hint="eastAsia" w:ascii="??_GB2312" w:hAnsi="Cambria" w:eastAsia="Times New Roman" w:cs="ArialUnicodeMS"/>
          <w:kern w:val="0"/>
          <w:sz w:val="32"/>
          <w:szCs w:val="32"/>
        </w:rPr>
      </w:pPr>
      <w:r>
        <w:rPr>
          <w:rFonts w:hint="eastAsia" w:ascii="??_GB2312" w:hAnsi="Cambria" w:eastAsia="Times New Roman" w:cs="ArialUnicodeMS"/>
          <w:kern w:val="0"/>
          <w:sz w:val="32"/>
          <w:szCs w:val="32"/>
        </w:rPr>
        <w:t xml:space="preserve">    （十七）在市政府领导下，按照职责分工依法查处违法直销和传销行为，依法监督管理直销企业和直销员及其直销活动。</w:t>
      </w:r>
    </w:p>
    <w:p>
      <w:pPr>
        <w:widowControl w:val="0"/>
        <w:wordWrap/>
        <w:adjustRightInd/>
        <w:snapToGrid/>
        <w:spacing w:after="0" w:line="560" w:lineRule="exact"/>
        <w:ind w:left="420" w:leftChars="200" w:right="0" w:firstLine="0" w:firstLineChars="0"/>
        <w:jc w:val="both"/>
        <w:textAlignment w:val="auto"/>
        <w:outlineLvl w:val="9"/>
        <w:rPr>
          <w:rFonts w:hint="eastAsia" w:ascii="??_GB2312" w:hAnsi="Cambria" w:eastAsia="Times New Roman" w:cs="ArialUnicodeMS"/>
          <w:kern w:val="0"/>
          <w:sz w:val="32"/>
          <w:szCs w:val="32"/>
        </w:rPr>
      </w:pPr>
      <w:r>
        <w:rPr>
          <w:rFonts w:hint="eastAsia" w:ascii="??_GB2312" w:hAnsi="Cambria" w:eastAsia="Times New Roman" w:cs="ArialUnicodeMS"/>
          <w:kern w:val="0"/>
          <w:sz w:val="32"/>
          <w:szCs w:val="32"/>
        </w:rPr>
        <w:t xml:space="preserve">    （十八）根据授权依法负责垄断协议、滥用市场支配地位、滥用行政权力排除限制竞争方面的反垄断执法工作（价格垄断行为除外）。依法查处不正当竞争、商业贿赂、走私贩私等经济违法行为。</w:t>
      </w:r>
    </w:p>
    <w:p>
      <w:pPr>
        <w:widowControl w:val="0"/>
        <w:wordWrap/>
        <w:adjustRightInd/>
        <w:snapToGrid/>
        <w:spacing w:after="0" w:line="560" w:lineRule="exact"/>
        <w:ind w:left="420" w:leftChars="200" w:right="0" w:firstLine="0" w:firstLineChars="0"/>
        <w:jc w:val="both"/>
        <w:textAlignment w:val="auto"/>
        <w:outlineLvl w:val="9"/>
        <w:rPr>
          <w:rFonts w:hint="eastAsia" w:ascii="??_GB2312" w:hAnsi="Cambria" w:eastAsia="Times New Roman" w:cs="ArialUnicodeMS"/>
          <w:kern w:val="0"/>
          <w:sz w:val="32"/>
          <w:szCs w:val="32"/>
        </w:rPr>
      </w:pPr>
      <w:r>
        <w:rPr>
          <w:rFonts w:hint="eastAsia" w:ascii="??_GB2312" w:hAnsi="Cambria" w:eastAsia="Times New Roman" w:cs="ArialUnicodeMS"/>
          <w:kern w:val="0"/>
          <w:sz w:val="32"/>
          <w:szCs w:val="32"/>
        </w:rPr>
        <w:t xml:space="preserve">    （十九）依法监督管理经纪人、经纪机构及经纪活动。</w:t>
      </w:r>
    </w:p>
    <w:p>
      <w:pPr>
        <w:widowControl w:val="0"/>
        <w:wordWrap/>
        <w:adjustRightInd/>
        <w:snapToGrid/>
        <w:spacing w:after="0" w:line="560" w:lineRule="exact"/>
        <w:ind w:left="420" w:leftChars="200" w:right="0" w:firstLine="0" w:firstLineChars="0"/>
        <w:jc w:val="both"/>
        <w:textAlignment w:val="auto"/>
        <w:outlineLvl w:val="9"/>
        <w:rPr>
          <w:rFonts w:hint="eastAsia" w:ascii="??_GB2312" w:hAnsi="Cambria" w:eastAsia="Times New Roman" w:cs="ArialUnicodeMS"/>
          <w:kern w:val="0"/>
          <w:sz w:val="32"/>
          <w:szCs w:val="32"/>
        </w:rPr>
      </w:pPr>
      <w:r>
        <w:rPr>
          <w:rFonts w:hint="eastAsia" w:ascii="??_GB2312" w:hAnsi="Cambria" w:eastAsia="Times New Roman" w:cs="ArialUnicodeMS"/>
          <w:kern w:val="0"/>
          <w:sz w:val="32"/>
          <w:szCs w:val="32"/>
        </w:rPr>
        <w:t xml:space="preserve">    （二十）依法实施合同行政监督管理，负责管理动产抵押物登记，组织监督管理拍卖行为，依法查处合同欺诈等违法行为。</w:t>
      </w:r>
    </w:p>
    <w:p>
      <w:pPr>
        <w:widowControl w:val="0"/>
        <w:wordWrap/>
        <w:adjustRightInd/>
        <w:snapToGrid/>
        <w:spacing w:after="0" w:line="560" w:lineRule="exact"/>
        <w:ind w:left="420" w:leftChars="200" w:right="0" w:firstLine="0" w:firstLineChars="0"/>
        <w:jc w:val="both"/>
        <w:textAlignment w:val="auto"/>
        <w:outlineLvl w:val="9"/>
        <w:rPr>
          <w:rFonts w:hint="eastAsia" w:ascii="??_GB2312" w:hAnsi="Cambria" w:eastAsia="Times New Roman" w:cs="ArialUnicodeMS"/>
          <w:kern w:val="0"/>
          <w:sz w:val="32"/>
          <w:szCs w:val="32"/>
        </w:rPr>
      </w:pPr>
      <w:r>
        <w:rPr>
          <w:rFonts w:hint="eastAsia" w:ascii="??_GB2312" w:hAnsi="Cambria" w:eastAsia="Times New Roman" w:cs="ArialUnicodeMS"/>
          <w:kern w:val="0"/>
          <w:sz w:val="32"/>
          <w:szCs w:val="32"/>
        </w:rPr>
        <w:t xml:space="preserve">    （二十一）指导广告业发展，负责广告活动的监督管理工作。</w:t>
      </w:r>
    </w:p>
    <w:p>
      <w:pPr>
        <w:widowControl w:val="0"/>
        <w:wordWrap/>
        <w:adjustRightInd/>
        <w:snapToGrid/>
        <w:spacing w:after="0" w:line="560" w:lineRule="exact"/>
        <w:ind w:left="420" w:leftChars="200" w:right="0" w:firstLine="0" w:firstLineChars="0"/>
        <w:jc w:val="both"/>
        <w:textAlignment w:val="auto"/>
        <w:outlineLvl w:val="9"/>
        <w:rPr>
          <w:rFonts w:hint="eastAsia" w:ascii="??_GB2312" w:hAnsi="Cambria" w:eastAsia="Times New Roman" w:cs="ArialUnicodeMS"/>
          <w:kern w:val="0"/>
          <w:sz w:val="32"/>
          <w:szCs w:val="32"/>
        </w:rPr>
      </w:pPr>
      <w:r>
        <w:rPr>
          <w:rFonts w:hint="eastAsia" w:ascii="??_GB2312" w:hAnsi="Cambria" w:eastAsia="Times New Roman" w:cs="ArialUnicodeMS"/>
          <w:kern w:val="0"/>
          <w:sz w:val="32"/>
          <w:szCs w:val="32"/>
        </w:rPr>
        <w:t xml:space="preserve">    （二十二）组织指导商标管理工作，依法保护商标专用权和查处商标侵权行为，负责驰名商标、著名商标的培育推荐保护工作。负责特殊标志、官方标志的保护。</w:t>
      </w:r>
    </w:p>
    <w:p>
      <w:pPr>
        <w:widowControl w:val="0"/>
        <w:wordWrap/>
        <w:adjustRightInd/>
        <w:snapToGrid/>
        <w:spacing w:after="0" w:line="560" w:lineRule="exact"/>
        <w:ind w:left="420" w:leftChars="200" w:right="0" w:firstLine="0" w:firstLineChars="0"/>
        <w:jc w:val="both"/>
        <w:textAlignment w:val="auto"/>
        <w:outlineLvl w:val="9"/>
        <w:rPr>
          <w:rFonts w:hint="eastAsia" w:ascii="??_GB2312" w:hAnsi="Cambria" w:eastAsia="Times New Roman" w:cs="ArialUnicodeMS"/>
          <w:kern w:val="0"/>
          <w:sz w:val="32"/>
          <w:szCs w:val="32"/>
        </w:rPr>
      </w:pPr>
      <w:r>
        <w:rPr>
          <w:rFonts w:hint="eastAsia" w:ascii="??_GB2312" w:hAnsi="Cambria" w:eastAsia="Times New Roman" w:cs="ArialUnicodeMS"/>
          <w:kern w:val="0"/>
          <w:sz w:val="32"/>
          <w:szCs w:val="32"/>
        </w:rPr>
        <w:t xml:space="preserve">    （二十三）组织指导企业、个体工商户、商品交易市场信用分类管理，研究分析并依法发布市场主体登记注册基础信息等相关信息，为政府决策和社会公众提供信息服务。</w:t>
      </w:r>
    </w:p>
    <w:p>
      <w:pPr>
        <w:widowControl w:val="0"/>
        <w:wordWrap/>
        <w:adjustRightInd/>
        <w:snapToGrid/>
        <w:spacing w:after="0" w:line="560" w:lineRule="exact"/>
        <w:ind w:left="420" w:leftChars="200" w:right="0" w:firstLine="0" w:firstLineChars="0"/>
        <w:jc w:val="both"/>
        <w:textAlignment w:val="auto"/>
        <w:outlineLvl w:val="9"/>
        <w:rPr>
          <w:rFonts w:hint="eastAsia" w:ascii="??_GB2312" w:hAnsi="Cambria" w:eastAsia="Times New Roman" w:cs="ArialUnicodeMS"/>
          <w:kern w:val="0"/>
          <w:sz w:val="32"/>
          <w:szCs w:val="32"/>
        </w:rPr>
      </w:pPr>
      <w:r>
        <w:rPr>
          <w:rFonts w:hint="eastAsia" w:ascii="??_GB2312" w:hAnsi="Cambria" w:eastAsia="Times New Roman" w:cs="ArialUnicodeMS"/>
          <w:kern w:val="0"/>
          <w:sz w:val="32"/>
          <w:szCs w:val="32"/>
        </w:rPr>
        <w:t xml:space="preserve">    （二十四）负责个体工商户、私营企业经营行为的服务和监督管理。</w:t>
      </w:r>
    </w:p>
    <w:p>
      <w:pPr>
        <w:widowControl w:val="0"/>
        <w:wordWrap/>
        <w:adjustRightInd/>
        <w:snapToGrid/>
        <w:spacing w:after="0" w:line="560" w:lineRule="exact"/>
        <w:ind w:left="420" w:leftChars="200" w:right="0" w:firstLine="0" w:firstLineChars="0"/>
        <w:jc w:val="both"/>
        <w:textAlignment w:val="auto"/>
        <w:outlineLvl w:val="9"/>
        <w:rPr>
          <w:rFonts w:hint="eastAsia" w:ascii="??_GB2312" w:hAnsi="Cambria" w:eastAsia="Times New Roman" w:cs="ArialUnicodeMS"/>
          <w:kern w:val="0"/>
          <w:sz w:val="32"/>
          <w:szCs w:val="32"/>
        </w:rPr>
      </w:pPr>
      <w:r>
        <w:rPr>
          <w:rFonts w:hint="eastAsia" w:ascii="??_GB2312" w:hAnsi="Cambria" w:eastAsia="Times New Roman" w:cs="ArialUnicodeMS"/>
          <w:kern w:val="0"/>
          <w:sz w:val="32"/>
          <w:szCs w:val="32"/>
        </w:rPr>
        <w:t xml:space="preserve">    （二十五）按照规定管理所辖机关及直属单位的人事、财务、审计、监察、离退休干部、基层队伍建设、培训工作。</w:t>
      </w:r>
    </w:p>
    <w:p>
      <w:pPr>
        <w:widowControl w:val="0"/>
        <w:wordWrap/>
        <w:adjustRightInd/>
        <w:snapToGrid/>
        <w:spacing w:after="0" w:line="560" w:lineRule="exact"/>
        <w:ind w:left="420" w:leftChars="200" w:right="0" w:firstLine="0" w:firstLineChars="0"/>
        <w:jc w:val="both"/>
        <w:textAlignment w:val="auto"/>
        <w:outlineLvl w:val="9"/>
        <w:rPr>
          <w:rFonts w:hint="eastAsia" w:ascii="??_GB2312" w:hAnsi="Cambria" w:eastAsia="Times New Roman" w:cs="ArialUnicodeMS"/>
          <w:kern w:val="0"/>
          <w:sz w:val="32"/>
          <w:szCs w:val="32"/>
        </w:rPr>
      </w:pPr>
      <w:r>
        <w:rPr>
          <w:rFonts w:hint="eastAsia" w:ascii="??_GB2312" w:hAnsi="Cambria" w:eastAsia="Times New Roman" w:cs="ArialUnicodeMS"/>
          <w:kern w:val="0"/>
          <w:sz w:val="32"/>
          <w:szCs w:val="32"/>
        </w:rPr>
        <w:t>（二十六）组织指导消费者协会、私营企业协会、个体劳动者协会、民用品维修行业协会、商标协会、广告协会等有关社团的工作。</w:t>
      </w:r>
    </w:p>
    <w:p>
      <w:pPr>
        <w:widowControl w:val="0"/>
        <w:wordWrap/>
        <w:adjustRightInd/>
        <w:snapToGrid/>
        <w:spacing w:after="0" w:line="560" w:lineRule="exact"/>
        <w:ind w:left="420" w:leftChars="200" w:right="0" w:firstLine="0" w:firstLineChars="0"/>
        <w:jc w:val="both"/>
        <w:textAlignment w:val="auto"/>
        <w:outlineLvl w:val="9"/>
        <w:rPr>
          <w:rFonts w:hint="eastAsia" w:ascii="??_GB2312" w:hAnsi="Cambria" w:eastAsia="Times New Roman" w:cs="ArialUnicodeMS"/>
          <w:kern w:val="0"/>
          <w:sz w:val="32"/>
          <w:szCs w:val="32"/>
        </w:rPr>
      </w:pPr>
      <w:r>
        <w:rPr>
          <w:rFonts w:hint="eastAsia" w:ascii="??_GB2312" w:hAnsi="Cambria" w:eastAsia="Times New Roman" w:cs="ArialUnicodeMS"/>
          <w:kern w:val="0"/>
          <w:sz w:val="32"/>
          <w:szCs w:val="32"/>
        </w:rPr>
        <w:t>（二十七）承办市政府以及市食品安全委员会交办的其他事项。</w:t>
      </w:r>
    </w:p>
    <w:p>
      <w:pPr>
        <w:widowControl w:val="0"/>
        <w:numPr>
          <w:ilvl w:val="0"/>
          <w:numId w:val="0"/>
        </w:numPr>
        <w:wordWrap/>
        <w:adjustRightInd/>
        <w:snapToGrid/>
        <w:spacing w:after="0"/>
        <w:ind w:left="420" w:leftChars="200" w:right="0" w:firstLine="0" w:firstLineChars="0"/>
        <w:jc w:val="both"/>
        <w:textAlignment w:val="auto"/>
        <w:outlineLvl w:val="9"/>
        <w:rPr>
          <w:rFonts w:hint="eastAsia" w:eastAsia="宋体"/>
          <w:lang w:val="en-US" w:eastAsia="zh-CN"/>
        </w:rPr>
      </w:pPr>
    </w:p>
    <w:p>
      <w:pPr>
        <w:pStyle w:val="2"/>
        <w:spacing w:before="0" w:after="0" w:line="600" w:lineRule="exact"/>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二、机构设置</w:t>
      </w:r>
    </w:p>
    <w:p>
      <w:pPr>
        <w:spacing w:after="0" w:line="560" w:lineRule="exact"/>
        <w:rPr>
          <w:rFonts w:ascii="仿宋_GB2312" w:hAnsi="Cambria" w:eastAsia="仿宋_GB2312" w:cs="ArialUnicodeMS"/>
          <w:kern w:val="0"/>
          <w:sz w:val="32"/>
          <w:szCs w:val="32"/>
        </w:rPr>
      </w:pPr>
      <w:r>
        <w:rPr>
          <w:rFonts w:hint="eastAsia" w:ascii="仿宋_GB2312" w:hAnsi="Cambria" w:eastAsia="仿宋_GB2312" w:cs="ArialUnicodeMS"/>
          <w:kern w:val="0"/>
          <w:sz w:val="32"/>
          <w:szCs w:val="32"/>
        </w:rPr>
        <w:t>从决算编报单位构成看，纳入2018 年度本部门决算汇编范围的独立核算单位（以下简称“单位”）共</w:t>
      </w:r>
      <w:r>
        <w:rPr>
          <w:rFonts w:hint="eastAsia" w:ascii="仿宋_GB2312" w:hAnsi="Cambria" w:eastAsia="仿宋_GB2312" w:cs="ArialUnicodeMS"/>
          <w:kern w:val="0"/>
          <w:sz w:val="32"/>
          <w:szCs w:val="32"/>
          <w:lang w:val="en-US" w:eastAsia="zh-CN"/>
        </w:rPr>
        <w:t>1</w:t>
      </w:r>
      <w:r>
        <w:rPr>
          <w:rFonts w:hint="eastAsia" w:ascii="仿宋_GB2312" w:hAnsi="Cambria" w:eastAsia="仿宋_GB2312" w:cs="ArialUnicodeMS"/>
          <w:kern w:val="0"/>
          <w:sz w:val="32"/>
          <w:szCs w:val="32"/>
        </w:rPr>
        <w:t>个，具体情况如下：</w:t>
      </w:r>
    </w:p>
    <w:tbl>
      <w:tblPr>
        <w:tblStyle w:val="13"/>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序号</w:t>
            </w:r>
          </w:p>
        </w:tc>
        <w:tc>
          <w:tcPr>
            <w:tcW w:w="34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单位名称</w:t>
            </w:r>
          </w:p>
        </w:tc>
        <w:tc>
          <w:tcPr>
            <w:tcW w:w="244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单位基本性质</w:t>
            </w:r>
          </w:p>
        </w:tc>
        <w:tc>
          <w:tcPr>
            <w:tcW w:w="266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vAlign w:val="top"/>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1</w:t>
            </w:r>
          </w:p>
        </w:tc>
        <w:tc>
          <w:tcPr>
            <w:tcW w:w="3485" w:type="dxa"/>
            <w:vAlign w:val="top"/>
          </w:tcPr>
          <w:p>
            <w:pPr>
              <w:spacing w:after="0" w:line="560" w:lineRule="exact"/>
              <w:rPr>
                <w:rFonts w:ascii="仿宋_GB2312" w:hAnsi="Cambria" w:eastAsia="仿宋_GB2312" w:cs="ArialUnicodeMS"/>
                <w:kern w:val="0"/>
                <w:sz w:val="28"/>
                <w:szCs w:val="28"/>
              </w:rPr>
            </w:pPr>
            <w:r>
              <w:rPr>
                <w:rFonts w:hint="eastAsia" w:ascii="??_GB2312" w:hAnsi="Cambria" w:cs="ArialUnicodeMS"/>
                <w:kern w:val="0"/>
                <w:sz w:val="28"/>
                <w:szCs w:val="28"/>
                <w:lang w:val="en-US" w:eastAsia="zh-CN"/>
              </w:rPr>
              <w:t>霸州市工商行政管理和食品药品监督管理局(</w:t>
            </w:r>
            <w:r>
              <w:rPr>
                <w:rFonts w:hint="eastAsia" w:ascii="仿宋_GB2312" w:hAnsi="Cambria" w:eastAsia="仿宋_GB2312" w:cs="ArialUnicodeMS"/>
                <w:kern w:val="0"/>
                <w:sz w:val="28"/>
                <w:szCs w:val="28"/>
              </w:rPr>
              <w:t>本级)</w:t>
            </w:r>
          </w:p>
        </w:tc>
        <w:tc>
          <w:tcPr>
            <w:tcW w:w="2445" w:type="dxa"/>
            <w:vAlign w:val="top"/>
          </w:tcPr>
          <w:p>
            <w:pPr>
              <w:spacing w:after="0" w:line="560" w:lineRule="exact"/>
              <w:jc w:val="center"/>
              <w:rPr>
                <w:rFonts w:hint="eastAsia" w:ascii="仿宋_GB2312" w:hAnsi="Cambria" w:eastAsia="仿宋_GB2312" w:cs="ArialUnicodeMS"/>
                <w:kern w:val="0"/>
                <w:sz w:val="28"/>
                <w:szCs w:val="28"/>
                <w:lang w:val="en-US" w:eastAsia="zh-CN"/>
              </w:rPr>
            </w:pPr>
            <w:r>
              <w:rPr>
                <w:rFonts w:hint="eastAsia" w:ascii="仿宋_GB2312" w:hAnsi="Cambria" w:eastAsia="仿宋_GB2312" w:cs="ArialUnicodeMS"/>
                <w:kern w:val="0"/>
                <w:sz w:val="28"/>
                <w:szCs w:val="28"/>
                <w:lang w:val="en-US" w:eastAsia="zh-CN"/>
              </w:rPr>
              <w:t>行政单位</w:t>
            </w:r>
          </w:p>
        </w:tc>
        <w:tc>
          <w:tcPr>
            <w:tcW w:w="2665" w:type="dxa"/>
            <w:vAlign w:val="top"/>
          </w:tcPr>
          <w:p>
            <w:pPr>
              <w:spacing w:after="0" w:line="560" w:lineRule="exact"/>
              <w:jc w:val="center"/>
              <w:rPr>
                <w:rFonts w:hint="eastAsia" w:ascii="仿宋_GB2312" w:hAnsi="Cambria" w:eastAsia="仿宋_GB2312" w:cs="ArialUnicodeMS"/>
                <w:kern w:val="0"/>
                <w:sz w:val="28"/>
                <w:szCs w:val="28"/>
                <w:lang w:eastAsia="zh-CN"/>
              </w:rPr>
            </w:pPr>
            <w:r>
              <w:rPr>
                <w:rFonts w:hint="eastAsia" w:ascii="仿宋_GB2312" w:hAnsi="Cambria" w:eastAsia="仿宋_GB2312" w:cs="ArialUnicodeMS"/>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vAlign w:val="top"/>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2</w:t>
            </w:r>
          </w:p>
        </w:tc>
        <w:tc>
          <w:tcPr>
            <w:tcW w:w="3485" w:type="dxa"/>
            <w:vAlign w:val="top"/>
          </w:tcPr>
          <w:p>
            <w:pPr>
              <w:spacing w:after="0" w:line="560" w:lineRule="exact"/>
              <w:rPr>
                <w:rFonts w:ascii="仿宋_GB2312" w:hAnsi="Cambria" w:eastAsia="仿宋_GB2312" w:cs="ArialUnicodeMS"/>
                <w:kern w:val="0"/>
                <w:sz w:val="28"/>
                <w:szCs w:val="28"/>
              </w:rPr>
            </w:pPr>
          </w:p>
        </w:tc>
        <w:tc>
          <w:tcPr>
            <w:tcW w:w="2445" w:type="dxa"/>
            <w:vAlign w:val="top"/>
          </w:tcPr>
          <w:p>
            <w:pPr>
              <w:spacing w:after="0" w:line="560" w:lineRule="exact"/>
              <w:jc w:val="center"/>
              <w:rPr>
                <w:rFonts w:ascii="仿宋_GB2312" w:hAnsi="Cambria" w:eastAsia="仿宋_GB2312" w:cs="ArialUnicodeMS"/>
                <w:kern w:val="0"/>
                <w:sz w:val="28"/>
                <w:szCs w:val="28"/>
              </w:rPr>
            </w:pPr>
          </w:p>
        </w:tc>
        <w:tc>
          <w:tcPr>
            <w:tcW w:w="2665" w:type="dxa"/>
            <w:vAlign w:val="top"/>
          </w:tcPr>
          <w:p>
            <w:pPr>
              <w:spacing w:after="0" w:line="560" w:lineRule="exact"/>
              <w:jc w:val="center"/>
              <w:rPr>
                <w:rFonts w:ascii="仿宋_GB2312" w:hAnsi="Cambria"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vAlign w:val="top"/>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3</w:t>
            </w:r>
          </w:p>
        </w:tc>
        <w:tc>
          <w:tcPr>
            <w:tcW w:w="3485" w:type="dxa"/>
            <w:vAlign w:val="top"/>
          </w:tcPr>
          <w:p>
            <w:pPr>
              <w:spacing w:after="0" w:line="560" w:lineRule="exact"/>
              <w:rPr>
                <w:rFonts w:ascii="仿宋_GB2312" w:hAnsi="Cambria" w:eastAsia="仿宋_GB2312" w:cs="ArialUnicodeMS"/>
                <w:kern w:val="0"/>
                <w:sz w:val="28"/>
                <w:szCs w:val="28"/>
              </w:rPr>
            </w:pPr>
          </w:p>
        </w:tc>
        <w:tc>
          <w:tcPr>
            <w:tcW w:w="2445" w:type="dxa"/>
            <w:vAlign w:val="top"/>
          </w:tcPr>
          <w:p>
            <w:pPr>
              <w:spacing w:after="0" w:line="560" w:lineRule="exact"/>
              <w:jc w:val="center"/>
              <w:rPr>
                <w:rFonts w:ascii="仿宋_GB2312" w:hAnsi="Cambria" w:eastAsia="仿宋_GB2312" w:cs="ArialUnicodeMS"/>
                <w:kern w:val="0"/>
                <w:sz w:val="28"/>
                <w:szCs w:val="28"/>
              </w:rPr>
            </w:pPr>
          </w:p>
        </w:tc>
        <w:tc>
          <w:tcPr>
            <w:tcW w:w="2665" w:type="dxa"/>
            <w:vAlign w:val="top"/>
          </w:tcPr>
          <w:p>
            <w:pPr>
              <w:spacing w:after="0" w:line="560" w:lineRule="exact"/>
              <w:jc w:val="center"/>
              <w:rPr>
                <w:rFonts w:ascii="仿宋_GB2312" w:hAnsi="Cambria"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85" w:type="dxa"/>
            <w:tcBorders>
              <w:bottom w:val="single" w:color="auto" w:sz="4" w:space="0"/>
            </w:tcBorders>
            <w:vAlign w:val="top"/>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w:t>
            </w:r>
          </w:p>
        </w:tc>
        <w:tc>
          <w:tcPr>
            <w:tcW w:w="3485" w:type="dxa"/>
            <w:tcBorders>
              <w:bottom w:val="single" w:color="auto" w:sz="4" w:space="0"/>
            </w:tcBorders>
            <w:vAlign w:val="top"/>
          </w:tcPr>
          <w:p>
            <w:pPr>
              <w:spacing w:after="0" w:line="560" w:lineRule="exact"/>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w:t>
            </w:r>
          </w:p>
        </w:tc>
        <w:tc>
          <w:tcPr>
            <w:tcW w:w="2445" w:type="dxa"/>
            <w:tcBorders>
              <w:bottom w:val="single" w:color="auto" w:sz="4" w:space="0"/>
            </w:tcBorders>
            <w:vAlign w:val="top"/>
          </w:tcPr>
          <w:p>
            <w:pPr>
              <w:spacing w:after="0" w:line="560" w:lineRule="exact"/>
              <w:jc w:val="center"/>
              <w:rPr>
                <w:rFonts w:ascii="仿宋_GB2312" w:hAnsi="Cambria" w:eastAsia="仿宋_GB2312" w:cs="ArialUnicodeMS"/>
                <w:kern w:val="0"/>
                <w:sz w:val="28"/>
                <w:szCs w:val="28"/>
              </w:rPr>
            </w:pPr>
          </w:p>
        </w:tc>
        <w:tc>
          <w:tcPr>
            <w:tcW w:w="2665" w:type="dxa"/>
            <w:tcBorders>
              <w:bottom w:val="single" w:color="auto" w:sz="4" w:space="0"/>
            </w:tcBorders>
            <w:vAlign w:val="top"/>
          </w:tcPr>
          <w:p>
            <w:pPr>
              <w:spacing w:after="0" w:line="560" w:lineRule="exact"/>
              <w:jc w:val="center"/>
              <w:rPr>
                <w:rFonts w:ascii="仿宋_GB2312" w:hAnsi="Cambria"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vAlign w:val="top"/>
          </w:tcPr>
          <w:p>
            <w:pPr>
              <w:spacing w:after="0" w:line="560" w:lineRule="exact"/>
              <w:ind w:firstLine="560" w:firstLineChars="200"/>
              <w:jc w:val="left"/>
              <w:rPr>
                <w:rFonts w:ascii="仿宋_GB2312" w:hAnsi="Cambria" w:eastAsia="仿宋_GB2312" w:cs="ArialUnicodeMS"/>
                <w:kern w:val="0"/>
                <w:sz w:val="28"/>
                <w:szCs w:val="28"/>
              </w:rPr>
            </w:pPr>
          </w:p>
        </w:tc>
      </w:tr>
    </w:tbl>
    <w:p>
      <w:pPr>
        <w:widowControl/>
        <w:spacing w:line="560" w:lineRule="exact"/>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r>
        <w:rPr>
          <w:rFonts w:hint="eastAsia" w:ascii="黑体" w:hAnsi="宋体" w:eastAsia="黑体"/>
          <w:color w:val="000000"/>
          <w:sz w:val="72"/>
          <w:szCs w:val="96"/>
        </w:rPr>
        <w:t>第二部分</w:t>
      </w:r>
    </w:p>
    <w:p>
      <w:pPr>
        <w:widowControl/>
        <w:spacing w:line="1200" w:lineRule="exact"/>
        <w:jc w:val="center"/>
        <w:rPr>
          <w:color w:val="000000"/>
          <w:sz w:val="72"/>
          <w:szCs w:val="96"/>
        </w:rPr>
      </w:pPr>
      <w:r>
        <w:rPr>
          <w:rFonts w:hint="eastAsia" w:ascii="黑体" w:hAnsi="宋体" w:eastAsia="黑体"/>
          <w:color w:val="000000"/>
          <w:sz w:val="72"/>
          <w:szCs w:val="96"/>
        </w:rPr>
        <w:t>2018年度部门决算报表</w:t>
      </w:r>
    </w:p>
    <w:p>
      <w:pPr>
        <w:widowControl/>
        <w:spacing w:line="560" w:lineRule="exact"/>
        <w:jc w:val="center"/>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pPr>
    </w:p>
    <w:p>
      <w:pPr>
        <w:rPr>
          <w:rFonts w:ascii="宋体" w:hAnsi="宋体" w:cs="ArialUnicodeMS"/>
          <w:color w:val="000000"/>
          <w:kern w:val="0"/>
        </w:rPr>
      </w:pPr>
    </w:p>
    <w:p>
      <w:pPr>
        <w:rPr>
          <w:rFonts w:ascii="宋体" w:hAnsi="宋体" w:cs="ArialUnicodeMS"/>
          <w:color w:val="000000"/>
          <w:kern w:val="0"/>
        </w:rPr>
        <w:sectPr>
          <w:pgSz w:w="11906" w:h="16838"/>
          <w:pgMar w:top="2098" w:right="1474" w:bottom="1984" w:left="1588" w:header="851" w:footer="992" w:gutter="0"/>
          <w:cols w:space="720" w:num="1"/>
          <w:docGrid w:type="lines" w:linePitch="312" w:charSpace="0"/>
        </w:sectPr>
      </w:pPr>
    </w:p>
    <w:tbl>
      <w:tblPr>
        <w:tblStyle w:val="12"/>
        <w:tblW w:w="93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700"/>
        <w:gridCol w:w="567"/>
        <w:gridCol w:w="1336"/>
        <w:gridCol w:w="2700"/>
        <w:gridCol w:w="567"/>
        <w:gridCol w:w="1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8" w:hRule="atLeast"/>
          <w:jc w:val="center"/>
        </w:trPr>
        <w:tc>
          <w:tcPr>
            <w:tcW w:w="2700" w:type="dxa"/>
            <w:tcBorders>
              <w:top w:val="nil"/>
              <w:left w:val="nil"/>
              <w:bottom w:val="nil"/>
              <w:right w:val="nil"/>
            </w:tcBorders>
            <w:tcMar>
              <w:top w:w="15" w:type="dxa"/>
              <w:left w:w="15" w:type="dxa"/>
              <w:right w:w="15" w:type="dxa"/>
            </w:tcMar>
            <w:vAlign w:val="center"/>
          </w:tcPr>
          <w:p>
            <w:pPr>
              <w:widowControl/>
              <w:spacing w:after="0" w:line="24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部门：廊坊市霸州市工商行政管理和食品药品监督管理局（本级）</w:t>
            </w: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336" w:type="dxa"/>
            <w:tcBorders>
              <w:top w:val="nil"/>
              <w:left w:val="nil"/>
              <w:bottom w:val="nil"/>
              <w:right w:val="nil"/>
            </w:tcBorders>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rPr>
              <w:t>4016</w:t>
            </w:r>
            <w:r>
              <w:rPr>
                <w:rFonts w:hint="eastAsia" w:ascii="宋体" w:hAnsi="宋体" w:cs="宋体"/>
                <w:color w:val="000000"/>
                <w:sz w:val="20"/>
                <w:szCs w:val="20"/>
                <w:lang w:val="en-US" w:eastAsia="zh-CN"/>
              </w:rPr>
              <w:t>.</w:t>
            </w:r>
            <w:r>
              <w:rPr>
                <w:rFonts w:hint="eastAsia" w:ascii="宋体" w:hAnsi="宋体" w:cs="宋体"/>
                <w:color w:val="000000"/>
                <w:sz w:val="20"/>
                <w:szCs w:val="20"/>
              </w:rPr>
              <w:t>0</w:t>
            </w:r>
            <w:r>
              <w:rPr>
                <w:rFonts w:hint="eastAsia" w:ascii="宋体" w:hAnsi="宋体" w:cs="宋体"/>
                <w:color w:val="000000"/>
                <w:sz w:val="20"/>
                <w:szCs w:val="20"/>
                <w:lang w:val="en-US" w:eastAsia="zh-CN"/>
              </w:rPr>
              <w:t>5</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lang w:val="en-US" w:eastAsia="zh-CN"/>
              </w:rPr>
              <w:t>340.57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三、事业收入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四、经营收入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六、其他收入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3703.69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ascii="宋体" w:hAnsi="宋体" w:cs="宋体"/>
                <w:color w:val="000000"/>
                <w:sz w:val="18"/>
                <w:szCs w:val="18"/>
              </w:rPr>
              <w:t>4016</w:t>
            </w:r>
            <w:r>
              <w:rPr>
                <w:rFonts w:hint="eastAsia" w:ascii="宋体" w:hAnsi="宋体" w:cs="宋体"/>
                <w:color w:val="000000"/>
                <w:sz w:val="18"/>
                <w:szCs w:val="18"/>
                <w:lang w:val="en-US" w:eastAsia="zh-CN"/>
              </w:rPr>
              <w:t>.</w:t>
            </w:r>
            <w:r>
              <w:rPr>
                <w:rFonts w:hint="eastAsia" w:ascii="宋体" w:hAnsi="宋体" w:cs="宋体"/>
                <w:color w:val="000000"/>
                <w:sz w:val="18"/>
                <w:szCs w:val="18"/>
              </w:rPr>
              <w:t>05</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rPr>
              <w:t>4044</w:t>
            </w:r>
            <w:r>
              <w:rPr>
                <w:rFonts w:hint="eastAsia" w:ascii="宋体" w:hAnsi="宋体" w:cs="宋体"/>
                <w:color w:val="000000"/>
                <w:sz w:val="20"/>
                <w:szCs w:val="20"/>
                <w:lang w:val="en-US" w:eastAsia="zh-CN"/>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结余分配</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tbl>
            <w:tblPr>
              <w:tblStyle w:val="12"/>
              <w:tblW w:w="14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lang w:val="en-US" w:eastAsia="zh-CN"/>
                    </w:rPr>
                    <w:t>37.33</w:t>
                  </w:r>
                </w:p>
              </w:tc>
            </w:tr>
          </w:tbl>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rPr>
              <w:t>9</w:t>
            </w:r>
            <w:r>
              <w:rPr>
                <w:rFonts w:hint="eastAsia"/>
                <w:lang w:val="en-US" w:eastAsia="zh-CN"/>
              </w:rPr>
              <w:t>.</w:t>
            </w:r>
            <w:r>
              <w:rPr>
                <w:rFonts w:hint="eastAsia"/>
              </w:rPr>
              <w:t>1</w:t>
            </w:r>
            <w:r>
              <w:rPr>
                <w:rFonts w:hint="eastAsia"/>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rPr>
              <w:t>4053</w:t>
            </w:r>
            <w:r>
              <w:rPr>
                <w:rFonts w:hint="eastAsia" w:ascii="宋体" w:hAnsi="宋体" w:cs="宋体"/>
                <w:color w:val="000000"/>
                <w:sz w:val="18"/>
                <w:szCs w:val="18"/>
                <w:lang w:val="en-US" w:eastAsia="zh-CN"/>
              </w:rPr>
              <w:t>.39</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18"/>
                <w:szCs w:val="18"/>
              </w:rPr>
              <w:t>4053</w:t>
            </w:r>
            <w:r>
              <w:rPr>
                <w:rFonts w:hint="eastAsia" w:ascii="宋体" w:hAnsi="宋体" w:cs="宋体"/>
                <w:color w:val="000000"/>
                <w:sz w:val="18"/>
                <w:szCs w:val="18"/>
                <w:lang w:val="en-US" w:eastAsia="zh-CN"/>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注：本表反映部门本年度的总收支和年末结转结余情况。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8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35"/>
        <w:gridCol w:w="179"/>
        <w:gridCol w:w="289"/>
        <w:gridCol w:w="1890"/>
        <w:gridCol w:w="192"/>
        <w:gridCol w:w="768"/>
        <w:gridCol w:w="307"/>
        <w:gridCol w:w="623"/>
        <w:gridCol w:w="193"/>
        <w:gridCol w:w="707"/>
        <w:gridCol w:w="108"/>
        <w:gridCol w:w="815"/>
        <w:gridCol w:w="682"/>
        <w:gridCol w:w="780"/>
        <w:gridCol w:w="9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0" w:hRule="atLeast"/>
          <w:jc w:val="center"/>
        </w:trPr>
        <w:tc>
          <w:tcPr>
            <w:tcW w:w="8800" w:type="dxa"/>
            <w:gridSpan w:val="15"/>
            <w:tcBorders>
              <w:top w:val="nil"/>
              <w:left w:val="nil"/>
              <w:bottom w:val="nil"/>
              <w:right w:val="nil"/>
            </w:tcBorders>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2" w:hRule="atLeast"/>
          <w:jc w:val="center"/>
        </w:trPr>
        <w:tc>
          <w:tcPr>
            <w:tcW w:w="33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89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92"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768"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0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2" w:hRule="atLeast"/>
          <w:jc w:val="center"/>
        </w:trPr>
        <w:tc>
          <w:tcPr>
            <w:tcW w:w="2885" w:type="dxa"/>
            <w:gridSpan w:val="5"/>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部门：廊坊市霸州市工商行政管理和食品药品监督管理局（本级）</w:t>
            </w:r>
          </w:p>
        </w:tc>
        <w:tc>
          <w:tcPr>
            <w:tcW w:w="768"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0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jc w:val="center"/>
        </w:trPr>
        <w:tc>
          <w:tcPr>
            <w:tcW w:w="2693" w:type="dxa"/>
            <w:gridSpan w:val="4"/>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960" w:type="dxa"/>
            <w:gridSpan w:val="2"/>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930"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财政拨款收入</w:t>
            </w:r>
          </w:p>
        </w:tc>
        <w:tc>
          <w:tcPr>
            <w:tcW w:w="900"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上级补助收入</w:t>
            </w:r>
          </w:p>
        </w:tc>
        <w:tc>
          <w:tcPr>
            <w:tcW w:w="923"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事业收入</w:t>
            </w:r>
          </w:p>
        </w:tc>
        <w:tc>
          <w:tcPr>
            <w:tcW w:w="682"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经营收入</w:t>
            </w:r>
          </w:p>
        </w:tc>
        <w:tc>
          <w:tcPr>
            <w:tcW w:w="78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附属单位上缴收入</w:t>
            </w:r>
          </w:p>
        </w:tc>
        <w:tc>
          <w:tcPr>
            <w:tcW w:w="93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6" w:hRule="atLeast"/>
          <w:jc w:val="center"/>
        </w:trPr>
        <w:tc>
          <w:tcPr>
            <w:tcW w:w="80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1890" w:type="dxa"/>
            <w:tcBorders>
              <w:top w:val="nil"/>
              <w:left w:val="nil"/>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960" w:type="dxa"/>
            <w:gridSpan w:val="2"/>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 w:val="20"/>
                <w:szCs w:val="20"/>
              </w:rPr>
            </w:pPr>
          </w:p>
        </w:tc>
        <w:tc>
          <w:tcPr>
            <w:tcW w:w="930" w:type="dxa"/>
            <w:gridSpan w:val="2"/>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00" w:type="dxa"/>
            <w:gridSpan w:val="2"/>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3" w:type="dxa"/>
            <w:gridSpan w:val="2"/>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682" w:type="dxa"/>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780" w:type="dxa"/>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32" w:type="dxa"/>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2693"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9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93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9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92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9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693"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960"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r>
              <w:rPr>
                <w:rFonts w:hint="eastAsia" w:ascii="宋体" w:hAnsi="宋体" w:cs="宋体"/>
                <w:b w:val="0"/>
                <w:bCs/>
                <w:color w:val="000000"/>
                <w:sz w:val="21"/>
                <w:szCs w:val="21"/>
              </w:rPr>
              <w:t>4016</w:t>
            </w:r>
            <w:r>
              <w:rPr>
                <w:rFonts w:hint="eastAsia" w:ascii="宋体" w:hAnsi="宋体" w:cs="宋体"/>
                <w:b w:val="0"/>
                <w:bCs/>
                <w:color w:val="000000"/>
                <w:sz w:val="21"/>
                <w:szCs w:val="21"/>
                <w:lang w:val="en-US" w:eastAsia="zh-CN"/>
              </w:rPr>
              <w:t>.</w:t>
            </w:r>
            <w:r>
              <w:rPr>
                <w:rFonts w:hint="eastAsia" w:ascii="宋体" w:hAnsi="宋体" w:cs="宋体"/>
                <w:b w:val="0"/>
                <w:bCs/>
                <w:color w:val="000000"/>
                <w:sz w:val="21"/>
                <w:szCs w:val="21"/>
              </w:rPr>
              <w:t>05</w:t>
            </w:r>
          </w:p>
        </w:tc>
        <w:tc>
          <w:tcPr>
            <w:tcW w:w="930"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b w:val="0"/>
                <w:bCs/>
                <w:color w:val="000000"/>
                <w:sz w:val="21"/>
                <w:szCs w:val="21"/>
                <w:lang w:val="en-US" w:eastAsia="zh-CN"/>
              </w:rPr>
            </w:pPr>
            <w:r>
              <w:rPr>
                <w:rFonts w:hint="eastAsia" w:ascii="宋体" w:hAnsi="宋体" w:cs="宋体"/>
                <w:b w:val="0"/>
                <w:bCs/>
                <w:color w:val="000000"/>
                <w:sz w:val="21"/>
                <w:szCs w:val="21"/>
              </w:rPr>
              <w:t>4016</w:t>
            </w:r>
            <w:r>
              <w:rPr>
                <w:rFonts w:hint="eastAsia" w:ascii="宋体" w:hAnsi="宋体" w:cs="宋体"/>
                <w:b w:val="0"/>
                <w:bCs/>
                <w:color w:val="000000"/>
                <w:sz w:val="21"/>
                <w:szCs w:val="21"/>
                <w:lang w:val="en-US" w:eastAsia="zh-CN"/>
              </w:rPr>
              <w:t>.</w:t>
            </w:r>
            <w:r>
              <w:rPr>
                <w:rFonts w:hint="eastAsia" w:ascii="宋体" w:hAnsi="宋体" w:cs="宋体"/>
                <w:b w:val="0"/>
                <w:bCs/>
                <w:color w:val="000000"/>
                <w:sz w:val="21"/>
                <w:szCs w:val="21"/>
              </w:rPr>
              <w:t>0</w:t>
            </w:r>
            <w:r>
              <w:rPr>
                <w:rFonts w:hint="eastAsia" w:ascii="宋体" w:hAnsi="宋体" w:cs="宋体"/>
                <w:b w:val="0"/>
                <w:bCs/>
                <w:color w:val="000000"/>
                <w:sz w:val="21"/>
                <w:szCs w:val="21"/>
                <w:lang w:val="en-US" w:eastAsia="zh-CN"/>
              </w:rPr>
              <w:t>5</w:t>
            </w:r>
          </w:p>
        </w:tc>
        <w:tc>
          <w:tcPr>
            <w:tcW w:w="900"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3"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682"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78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32"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color w:val="00000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jc w:val="center"/>
        </w:trPr>
        <w:tc>
          <w:tcPr>
            <w:tcW w:w="80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rPr>
              <w:t>201</w:t>
            </w:r>
          </w:p>
        </w:tc>
        <w:tc>
          <w:tcPr>
            <w:tcW w:w="189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rPr>
              <w:t>一般公共服务支出</w:t>
            </w:r>
          </w:p>
        </w:tc>
        <w:tc>
          <w:tcPr>
            <w:tcW w:w="96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340.57</w:t>
            </w:r>
          </w:p>
        </w:tc>
        <w:tc>
          <w:tcPr>
            <w:tcW w:w="9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340.57</w:t>
            </w:r>
          </w:p>
        </w:tc>
        <w:tc>
          <w:tcPr>
            <w:tcW w:w="90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8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8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9" w:hRule="atLeast"/>
          <w:jc w:val="center"/>
        </w:trPr>
        <w:tc>
          <w:tcPr>
            <w:tcW w:w="80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cs="宋体"/>
                <w:color w:val="000000"/>
                <w:szCs w:val="21"/>
              </w:rPr>
            </w:pPr>
          </w:p>
          <w:p>
            <w:pPr>
              <w:widowControl/>
              <w:spacing w:after="0" w:line="240" w:lineRule="atLeast"/>
              <w:jc w:val="center"/>
              <w:rPr>
                <w:rFonts w:ascii="宋体" w:hAnsi="宋体" w:cs="宋体"/>
                <w:color w:val="000000"/>
                <w:szCs w:val="21"/>
              </w:rPr>
            </w:pPr>
            <w:r>
              <w:rPr>
                <w:rFonts w:hint="eastAsia" w:ascii="宋体" w:hAnsi="宋体" w:cs="宋体"/>
                <w:color w:val="000000"/>
                <w:szCs w:val="21"/>
              </w:rPr>
              <w:t>20115</w:t>
            </w:r>
          </w:p>
        </w:tc>
        <w:tc>
          <w:tcPr>
            <w:tcW w:w="189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cs="宋体"/>
                <w:color w:val="000000"/>
                <w:szCs w:val="21"/>
              </w:rPr>
            </w:pPr>
            <w:r>
              <w:rPr>
                <w:rFonts w:hint="eastAsia" w:ascii="宋体" w:hAnsi="宋体" w:cs="宋体"/>
                <w:color w:val="000000"/>
                <w:szCs w:val="21"/>
              </w:rPr>
              <w:t>工商行政管理事务</w:t>
            </w:r>
          </w:p>
          <w:p>
            <w:pPr>
              <w:widowControl/>
              <w:spacing w:after="0" w:line="240" w:lineRule="atLeast"/>
              <w:jc w:val="center"/>
              <w:rPr>
                <w:rFonts w:ascii="宋体" w:hAnsi="宋体" w:cs="宋体"/>
                <w:color w:val="000000"/>
                <w:szCs w:val="21"/>
              </w:rPr>
            </w:pPr>
          </w:p>
        </w:tc>
        <w:tc>
          <w:tcPr>
            <w:tcW w:w="96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340.57</w:t>
            </w:r>
          </w:p>
        </w:tc>
        <w:tc>
          <w:tcPr>
            <w:tcW w:w="9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340.57</w:t>
            </w:r>
          </w:p>
        </w:tc>
        <w:tc>
          <w:tcPr>
            <w:tcW w:w="90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8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8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0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cs="宋体"/>
                <w:color w:val="000000"/>
                <w:szCs w:val="21"/>
              </w:rPr>
            </w:pPr>
          </w:p>
          <w:p>
            <w:pPr>
              <w:widowControl/>
              <w:spacing w:after="0" w:line="240" w:lineRule="atLeast"/>
              <w:jc w:val="center"/>
              <w:rPr>
                <w:rFonts w:ascii="宋体" w:hAnsi="宋体" w:cs="宋体"/>
                <w:color w:val="000000"/>
                <w:szCs w:val="21"/>
              </w:rPr>
            </w:pPr>
            <w:r>
              <w:rPr>
                <w:rFonts w:hint="eastAsia" w:ascii="宋体" w:hAnsi="宋体" w:cs="宋体"/>
                <w:color w:val="000000"/>
                <w:szCs w:val="21"/>
              </w:rPr>
              <w:t>2011502</w:t>
            </w:r>
          </w:p>
        </w:tc>
        <w:tc>
          <w:tcPr>
            <w:tcW w:w="189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rPr>
              <w:t>一般行政管理事务</w:t>
            </w:r>
          </w:p>
        </w:tc>
        <w:tc>
          <w:tcPr>
            <w:tcW w:w="96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166.57</w:t>
            </w:r>
          </w:p>
        </w:tc>
        <w:tc>
          <w:tcPr>
            <w:tcW w:w="9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166.57</w:t>
            </w:r>
          </w:p>
        </w:tc>
        <w:tc>
          <w:tcPr>
            <w:tcW w:w="90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8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8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0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cs="宋体"/>
                <w:color w:val="000000"/>
                <w:szCs w:val="21"/>
              </w:rPr>
            </w:pPr>
          </w:p>
          <w:p>
            <w:pPr>
              <w:widowControl/>
              <w:spacing w:after="0" w:line="240" w:lineRule="atLeast"/>
              <w:jc w:val="center"/>
              <w:rPr>
                <w:rFonts w:ascii="宋体" w:hAnsi="宋体" w:cs="宋体"/>
                <w:color w:val="000000"/>
                <w:szCs w:val="21"/>
              </w:rPr>
            </w:pPr>
            <w:r>
              <w:rPr>
                <w:rFonts w:hint="eastAsia" w:ascii="宋体" w:hAnsi="宋体" w:cs="宋体"/>
                <w:color w:val="000000"/>
                <w:szCs w:val="21"/>
              </w:rPr>
              <w:t>2011504</w:t>
            </w:r>
          </w:p>
        </w:tc>
        <w:tc>
          <w:tcPr>
            <w:tcW w:w="189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rPr>
              <w:t>工商行政管理专项</w:t>
            </w:r>
          </w:p>
        </w:tc>
        <w:tc>
          <w:tcPr>
            <w:tcW w:w="96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18.00</w:t>
            </w:r>
          </w:p>
        </w:tc>
        <w:tc>
          <w:tcPr>
            <w:tcW w:w="9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eastAsia="zh-CN"/>
              </w:rPr>
            </w:pPr>
            <w:r>
              <w:rPr>
                <w:rFonts w:hint="eastAsia" w:ascii="宋体" w:hAnsi="宋体" w:cs="宋体"/>
                <w:color w:val="000000"/>
                <w:szCs w:val="21"/>
                <w:lang w:val="en-US" w:eastAsia="zh-CN"/>
              </w:rPr>
              <w:t>18.00</w:t>
            </w:r>
          </w:p>
        </w:tc>
        <w:tc>
          <w:tcPr>
            <w:tcW w:w="90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8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8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0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rPr>
              <w:t>2011505</w:t>
            </w:r>
          </w:p>
        </w:tc>
        <w:tc>
          <w:tcPr>
            <w:tcW w:w="189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cs="宋体"/>
                <w:color w:val="000000"/>
                <w:szCs w:val="21"/>
              </w:rPr>
            </w:pPr>
            <w:r>
              <w:rPr>
                <w:rFonts w:hint="eastAsia" w:ascii="宋体" w:hAnsi="宋体" w:cs="宋体"/>
                <w:color w:val="000000"/>
                <w:szCs w:val="21"/>
              </w:rPr>
              <w:t>执法办案专项</w:t>
            </w:r>
          </w:p>
          <w:p>
            <w:pPr>
              <w:widowControl/>
              <w:spacing w:after="0" w:line="240" w:lineRule="atLeast"/>
              <w:jc w:val="center"/>
              <w:rPr>
                <w:rFonts w:ascii="宋体" w:hAnsi="宋体" w:cs="宋体"/>
                <w:color w:val="000000"/>
                <w:szCs w:val="21"/>
              </w:rPr>
            </w:pPr>
          </w:p>
        </w:tc>
        <w:tc>
          <w:tcPr>
            <w:tcW w:w="96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6.00</w:t>
            </w:r>
          </w:p>
        </w:tc>
        <w:tc>
          <w:tcPr>
            <w:tcW w:w="9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6.00</w:t>
            </w:r>
          </w:p>
        </w:tc>
        <w:tc>
          <w:tcPr>
            <w:tcW w:w="90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8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8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0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rPr>
              <w:t>2011506</w:t>
            </w:r>
          </w:p>
        </w:tc>
        <w:tc>
          <w:tcPr>
            <w:tcW w:w="189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rPr>
              <w:t>消费者权益保护</w:t>
            </w:r>
          </w:p>
        </w:tc>
        <w:tc>
          <w:tcPr>
            <w:tcW w:w="96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rPr>
              <w:t>150</w:t>
            </w:r>
            <w:r>
              <w:rPr>
                <w:rFonts w:hint="eastAsia" w:ascii="宋体" w:hAnsi="宋体" w:cs="宋体"/>
                <w:color w:val="000000"/>
                <w:szCs w:val="21"/>
                <w:lang w:val="en-US" w:eastAsia="zh-CN"/>
              </w:rPr>
              <w:t>.00</w:t>
            </w:r>
          </w:p>
        </w:tc>
        <w:tc>
          <w:tcPr>
            <w:tcW w:w="9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150.00</w:t>
            </w:r>
          </w:p>
        </w:tc>
        <w:tc>
          <w:tcPr>
            <w:tcW w:w="90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8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8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0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rPr>
              <w:t>210</w:t>
            </w:r>
          </w:p>
        </w:tc>
        <w:tc>
          <w:tcPr>
            <w:tcW w:w="189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cs="宋体"/>
                <w:color w:val="000000"/>
                <w:szCs w:val="21"/>
              </w:rPr>
            </w:pPr>
            <w:r>
              <w:rPr>
                <w:rFonts w:hint="eastAsia" w:ascii="宋体" w:hAnsi="宋体" w:cs="宋体"/>
                <w:color w:val="000000"/>
                <w:szCs w:val="21"/>
              </w:rPr>
              <w:t>医疗卫生与计划生育支出</w:t>
            </w:r>
          </w:p>
          <w:p>
            <w:pPr>
              <w:widowControl/>
              <w:spacing w:after="0" w:line="240" w:lineRule="atLeast"/>
              <w:jc w:val="center"/>
              <w:rPr>
                <w:rFonts w:ascii="宋体" w:hAnsi="宋体" w:cs="宋体"/>
                <w:color w:val="000000"/>
                <w:szCs w:val="21"/>
              </w:rPr>
            </w:pPr>
          </w:p>
        </w:tc>
        <w:tc>
          <w:tcPr>
            <w:tcW w:w="96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3675.48</w:t>
            </w:r>
          </w:p>
        </w:tc>
        <w:tc>
          <w:tcPr>
            <w:tcW w:w="9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3675.48</w:t>
            </w:r>
          </w:p>
        </w:tc>
        <w:tc>
          <w:tcPr>
            <w:tcW w:w="90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8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8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0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rPr>
              <w:t>21004</w:t>
            </w:r>
          </w:p>
        </w:tc>
        <w:tc>
          <w:tcPr>
            <w:tcW w:w="189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rPr>
              <w:t>公共卫生</w:t>
            </w:r>
          </w:p>
        </w:tc>
        <w:tc>
          <w:tcPr>
            <w:tcW w:w="96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2.16</w:t>
            </w:r>
          </w:p>
        </w:tc>
        <w:tc>
          <w:tcPr>
            <w:tcW w:w="9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2.16</w:t>
            </w:r>
          </w:p>
        </w:tc>
        <w:tc>
          <w:tcPr>
            <w:tcW w:w="90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8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8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0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rPr>
              <w:t>2100409</w:t>
            </w:r>
          </w:p>
        </w:tc>
        <w:tc>
          <w:tcPr>
            <w:tcW w:w="189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rPr>
              <w:t>重大公共卫生专项</w:t>
            </w:r>
          </w:p>
        </w:tc>
        <w:tc>
          <w:tcPr>
            <w:tcW w:w="96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8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8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0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rPr>
              <w:t>2100499</w:t>
            </w:r>
          </w:p>
        </w:tc>
        <w:tc>
          <w:tcPr>
            <w:tcW w:w="189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rPr>
              <w:t>其他公共卫生支出</w:t>
            </w:r>
          </w:p>
        </w:tc>
        <w:tc>
          <w:tcPr>
            <w:tcW w:w="96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2.16</w:t>
            </w:r>
          </w:p>
        </w:tc>
        <w:tc>
          <w:tcPr>
            <w:tcW w:w="9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2.16</w:t>
            </w:r>
          </w:p>
        </w:tc>
        <w:tc>
          <w:tcPr>
            <w:tcW w:w="90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8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8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0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cs="宋体"/>
                <w:color w:val="000000"/>
                <w:szCs w:val="21"/>
              </w:rPr>
            </w:pPr>
            <w:r>
              <w:rPr>
                <w:rFonts w:hint="eastAsia" w:ascii="宋体" w:hAnsi="宋体" w:cs="宋体"/>
                <w:color w:val="000000"/>
                <w:szCs w:val="21"/>
              </w:rPr>
              <w:t>21010</w:t>
            </w:r>
          </w:p>
        </w:tc>
        <w:tc>
          <w:tcPr>
            <w:tcW w:w="189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cs="宋体"/>
                <w:color w:val="000000"/>
                <w:szCs w:val="21"/>
              </w:rPr>
            </w:pPr>
            <w:r>
              <w:rPr>
                <w:rFonts w:hint="eastAsia" w:ascii="宋体" w:hAnsi="宋体" w:cs="宋体"/>
                <w:color w:val="000000"/>
                <w:szCs w:val="21"/>
              </w:rPr>
              <w:t>食品和药品监督管理事务</w:t>
            </w:r>
          </w:p>
          <w:p>
            <w:pPr>
              <w:widowControl/>
              <w:spacing w:after="0" w:line="240" w:lineRule="atLeast"/>
              <w:jc w:val="center"/>
              <w:rPr>
                <w:rFonts w:hint="eastAsia" w:ascii="宋体" w:hAnsi="宋体" w:cs="宋体"/>
                <w:color w:val="000000"/>
                <w:szCs w:val="21"/>
              </w:rPr>
            </w:pPr>
          </w:p>
        </w:tc>
        <w:tc>
          <w:tcPr>
            <w:tcW w:w="96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eastAsia="zh-CN"/>
              </w:rPr>
            </w:pPr>
            <w:r>
              <w:rPr>
                <w:rFonts w:hint="eastAsia" w:ascii="宋体" w:hAnsi="宋体" w:cs="宋体"/>
                <w:color w:val="000000"/>
                <w:szCs w:val="21"/>
                <w:lang w:val="en-US" w:eastAsia="zh-CN"/>
              </w:rPr>
              <w:t>3673.32</w:t>
            </w:r>
          </w:p>
        </w:tc>
        <w:tc>
          <w:tcPr>
            <w:tcW w:w="9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3673.32</w:t>
            </w:r>
          </w:p>
        </w:tc>
        <w:tc>
          <w:tcPr>
            <w:tcW w:w="90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8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8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0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cs="宋体"/>
                <w:color w:val="000000"/>
                <w:szCs w:val="21"/>
              </w:rPr>
            </w:pPr>
            <w:r>
              <w:rPr>
                <w:rFonts w:hint="eastAsia" w:ascii="宋体" w:hAnsi="宋体" w:cs="宋体"/>
                <w:color w:val="000000"/>
                <w:szCs w:val="21"/>
              </w:rPr>
              <w:t>2101001</w:t>
            </w:r>
          </w:p>
          <w:p>
            <w:pPr>
              <w:widowControl/>
              <w:spacing w:after="0" w:line="240" w:lineRule="atLeast"/>
              <w:jc w:val="center"/>
              <w:rPr>
                <w:rFonts w:hint="eastAsia" w:ascii="宋体" w:hAnsi="宋体" w:cs="宋体"/>
                <w:color w:val="000000"/>
                <w:szCs w:val="21"/>
              </w:rPr>
            </w:pPr>
          </w:p>
        </w:tc>
        <w:tc>
          <w:tcPr>
            <w:tcW w:w="189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cs="宋体"/>
                <w:color w:val="000000"/>
                <w:szCs w:val="21"/>
              </w:rPr>
            </w:pPr>
            <w:r>
              <w:rPr>
                <w:rFonts w:hint="eastAsia" w:ascii="宋体" w:hAnsi="宋体" w:cs="宋体"/>
                <w:color w:val="000000"/>
                <w:szCs w:val="21"/>
              </w:rPr>
              <w:t>行政运行</w:t>
            </w:r>
          </w:p>
          <w:p>
            <w:pPr>
              <w:widowControl/>
              <w:spacing w:after="0" w:line="240" w:lineRule="atLeast"/>
              <w:jc w:val="center"/>
              <w:rPr>
                <w:rFonts w:hint="eastAsia" w:ascii="宋体" w:hAnsi="宋体" w:cs="宋体"/>
                <w:color w:val="000000"/>
                <w:szCs w:val="21"/>
              </w:rPr>
            </w:pPr>
          </w:p>
        </w:tc>
        <w:tc>
          <w:tcPr>
            <w:tcW w:w="96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eastAsia="zh-CN"/>
              </w:rPr>
            </w:pPr>
            <w:r>
              <w:rPr>
                <w:rFonts w:hint="eastAsia" w:ascii="宋体" w:hAnsi="宋体" w:cs="宋体"/>
                <w:color w:val="000000"/>
                <w:szCs w:val="21"/>
                <w:lang w:val="en-US" w:eastAsia="zh-CN"/>
              </w:rPr>
              <w:t>3512.82</w:t>
            </w:r>
          </w:p>
        </w:tc>
        <w:tc>
          <w:tcPr>
            <w:tcW w:w="9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3512.82</w:t>
            </w:r>
          </w:p>
        </w:tc>
        <w:tc>
          <w:tcPr>
            <w:tcW w:w="90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8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8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0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cs="宋体"/>
                <w:color w:val="000000"/>
                <w:szCs w:val="21"/>
              </w:rPr>
            </w:pPr>
            <w:r>
              <w:rPr>
                <w:rFonts w:hint="eastAsia" w:ascii="宋体" w:hAnsi="宋体" w:cs="宋体"/>
                <w:color w:val="000000"/>
                <w:szCs w:val="21"/>
              </w:rPr>
              <w:t>2101002</w:t>
            </w:r>
          </w:p>
        </w:tc>
        <w:tc>
          <w:tcPr>
            <w:tcW w:w="189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cs="宋体"/>
                <w:color w:val="000000"/>
                <w:szCs w:val="21"/>
              </w:rPr>
            </w:pPr>
            <w:r>
              <w:rPr>
                <w:rFonts w:hint="eastAsia" w:ascii="宋体" w:hAnsi="宋体" w:cs="宋体"/>
                <w:color w:val="000000"/>
                <w:szCs w:val="21"/>
              </w:rPr>
              <w:t>一般行政管理事务</w:t>
            </w:r>
          </w:p>
          <w:p>
            <w:pPr>
              <w:widowControl/>
              <w:spacing w:after="0" w:line="240" w:lineRule="atLeast"/>
              <w:jc w:val="center"/>
              <w:rPr>
                <w:rFonts w:hint="eastAsia" w:ascii="宋体" w:hAnsi="宋体" w:cs="宋体"/>
                <w:color w:val="000000"/>
                <w:szCs w:val="21"/>
              </w:rPr>
            </w:pPr>
          </w:p>
        </w:tc>
        <w:tc>
          <w:tcPr>
            <w:tcW w:w="96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eastAsia="zh-CN"/>
              </w:rPr>
            </w:pPr>
            <w:r>
              <w:rPr>
                <w:rFonts w:hint="eastAsia" w:ascii="宋体" w:hAnsi="宋体" w:cs="宋体"/>
                <w:color w:val="000000"/>
                <w:szCs w:val="21"/>
                <w:lang w:val="en-US" w:eastAsia="zh-CN"/>
              </w:rPr>
              <w:t>48.00</w:t>
            </w:r>
          </w:p>
        </w:tc>
        <w:tc>
          <w:tcPr>
            <w:tcW w:w="9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eastAsia="zh-CN"/>
              </w:rPr>
            </w:pPr>
            <w:r>
              <w:rPr>
                <w:rFonts w:hint="eastAsia" w:ascii="宋体" w:hAnsi="宋体" w:cs="宋体"/>
                <w:color w:val="000000"/>
                <w:szCs w:val="21"/>
                <w:lang w:val="en-US" w:eastAsia="zh-CN"/>
              </w:rPr>
              <w:t>48.00</w:t>
            </w:r>
          </w:p>
        </w:tc>
        <w:tc>
          <w:tcPr>
            <w:tcW w:w="90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8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8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1" w:hRule="atLeast"/>
          <w:jc w:val="center"/>
        </w:trPr>
        <w:tc>
          <w:tcPr>
            <w:tcW w:w="80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cs="宋体"/>
                <w:color w:val="000000"/>
                <w:szCs w:val="21"/>
              </w:rPr>
            </w:pPr>
          </w:p>
          <w:p>
            <w:pPr>
              <w:widowControl/>
              <w:spacing w:after="0" w:line="240" w:lineRule="atLeast"/>
              <w:jc w:val="center"/>
              <w:rPr>
                <w:rFonts w:hint="eastAsia" w:ascii="宋体" w:hAnsi="宋体" w:cs="宋体"/>
                <w:color w:val="000000"/>
                <w:szCs w:val="21"/>
              </w:rPr>
            </w:pPr>
            <w:r>
              <w:rPr>
                <w:rFonts w:hint="eastAsia" w:ascii="宋体" w:hAnsi="宋体" w:cs="宋体"/>
                <w:color w:val="000000"/>
                <w:szCs w:val="21"/>
              </w:rPr>
              <w:t>2101016</w:t>
            </w:r>
          </w:p>
          <w:p>
            <w:pPr>
              <w:widowControl/>
              <w:spacing w:after="0" w:line="240" w:lineRule="atLeast"/>
              <w:jc w:val="center"/>
              <w:rPr>
                <w:rFonts w:hint="eastAsia" w:ascii="宋体" w:hAnsi="宋体" w:cs="宋体"/>
                <w:color w:val="000000"/>
                <w:szCs w:val="21"/>
              </w:rPr>
            </w:pPr>
          </w:p>
        </w:tc>
        <w:tc>
          <w:tcPr>
            <w:tcW w:w="189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cs="宋体"/>
                <w:color w:val="000000"/>
                <w:szCs w:val="21"/>
              </w:rPr>
            </w:pPr>
            <w:r>
              <w:rPr>
                <w:rFonts w:hint="eastAsia" w:ascii="宋体" w:hAnsi="宋体" w:cs="宋体"/>
                <w:color w:val="000000"/>
                <w:szCs w:val="21"/>
              </w:rPr>
              <w:t>食品安全事务</w:t>
            </w:r>
          </w:p>
          <w:p>
            <w:pPr>
              <w:widowControl/>
              <w:spacing w:after="0" w:line="240" w:lineRule="atLeast"/>
              <w:jc w:val="center"/>
              <w:rPr>
                <w:rFonts w:hint="eastAsia" w:ascii="宋体" w:hAnsi="宋体" w:cs="宋体"/>
                <w:color w:val="000000"/>
                <w:szCs w:val="21"/>
              </w:rPr>
            </w:pPr>
          </w:p>
        </w:tc>
        <w:tc>
          <w:tcPr>
            <w:tcW w:w="96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eastAsia="zh-CN"/>
              </w:rPr>
            </w:pPr>
            <w:r>
              <w:rPr>
                <w:rFonts w:hint="eastAsia" w:ascii="宋体" w:hAnsi="宋体" w:cs="宋体"/>
                <w:color w:val="000000"/>
                <w:szCs w:val="21"/>
                <w:lang w:val="en-US" w:eastAsia="zh-CN"/>
              </w:rPr>
              <w:t>105.00</w:t>
            </w:r>
          </w:p>
        </w:tc>
        <w:tc>
          <w:tcPr>
            <w:tcW w:w="9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eastAsia="zh-CN"/>
              </w:rPr>
            </w:pPr>
            <w:r>
              <w:rPr>
                <w:rFonts w:hint="eastAsia" w:ascii="宋体" w:hAnsi="宋体" w:cs="宋体"/>
                <w:color w:val="000000"/>
                <w:szCs w:val="21"/>
                <w:lang w:val="en-US" w:eastAsia="zh-CN"/>
              </w:rPr>
              <w:t>105.00</w:t>
            </w:r>
          </w:p>
        </w:tc>
        <w:tc>
          <w:tcPr>
            <w:tcW w:w="90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8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8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0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cs="宋体"/>
                <w:color w:val="000000"/>
                <w:szCs w:val="21"/>
              </w:rPr>
            </w:pPr>
            <w:r>
              <w:rPr>
                <w:rFonts w:hint="eastAsia" w:ascii="宋体" w:hAnsi="宋体" w:cs="宋体"/>
                <w:color w:val="000000"/>
                <w:szCs w:val="21"/>
              </w:rPr>
              <w:t>2101099</w:t>
            </w:r>
          </w:p>
        </w:tc>
        <w:tc>
          <w:tcPr>
            <w:tcW w:w="189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cs="宋体"/>
                <w:color w:val="000000"/>
                <w:szCs w:val="21"/>
              </w:rPr>
            </w:pPr>
            <w:r>
              <w:rPr>
                <w:rFonts w:hint="eastAsia" w:ascii="宋体" w:hAnsi="宋体" w:cs="宋体"/>
                <w:color w:val="000000"/>
                <w:szCs w:val="21"/>
              </w:rPr>
              <w:t>其他食品和药品监督管理事务支出</w:t>
            </w:r>
          </w:p>
        </w:tc>
        <w:tc>
          <w:tcPr>
            <w:tcW w:w="96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eastAsia="zh-CN"/>
              </w:rPr>
            </w:pPr>
            <w:r>
              <w:rPr>
                <w:rFonts w:hint="eastAsia" w:ascii="宋体" w:hAnsi="宋体" w:cs="宋体"/>
                <w:color w:val="000000"/>
                <w:szCs w:val="21"/>
                <w:lang w:val="en-US" w:eastAsia="zh-CN"/>
              </w:rPr>
              <w:t>7.50</w:t>
            </w:r>
          </w:p>
        </w:tc>
        <w:tc>
          <w:tcPr>
            <w:tcW w:w="9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eastAsia="zh-CN"/>
              </w:rPr>
            </w:pPr>
            <w:r>
              <w:rPr>
                <w:rFonts w:hint="eastAsia" w:ascii="宋体" w:hAnsi="宋体" w:cs="宋体"/>
                <w:color w:val="000000"/>
                <w:szCs w:val="21"/>
                <w:lang w:val="en-US" w:eastAsia="zh-CN"/>
              </w:rPr>
              <w:t>7.50</w:t>
            </w:r>
          </w:p>
        </w:tc>
        <w:tc>
          <w:tcPr>
            <w:tcW w:w="90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8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8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1" w:hRule="atLeast"/>
          <w:jc w:val="center"/>
        </w:trPr>
        <w:tc>
          <w:tcPr>
            <w:tcW w:w="8800" w:type="dxa"/>
            <w:gridSpan w:val="15"/>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注：本表反映部门本年度取得的各项收入情况。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86"/>
        <w:gridCol w:w="285"/>
        <w:gridCol w:w="510"/>
        <w:gridCol w:w="282"/>
        <w:gridCol w:w="1488"/>
        <w:gridCol w:w="251"/>
        <w:gridCol w:w="634"/>
        <w:gridCol w:w="468"/>
        <w:gridCol w:w="397"/>
        <w:gridCol w:w="708"/>
        <w:gridCol w:w="360"/>
        <w:gridCol w:w="742"/>
        <w:gridCol w:w="326"/>
        <w:gridCol w:w="778"/>
        <w:gridCol w:w="290"/>
        <w:gridCol w:w="10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8" w:hRule="atLeast"/>
        </w:trPr>
        <w:tc>
          <w:tcPr>
            <w:tcW w:w="8874" w:type="dxa"/>
            <w:gridSpan w:val="16"/>
            <w:tcBorders>
              <w:top w:val="nil"/>
              <w:left w:val="nil"/>
              <w:bottom w:val="nil"/>
              <w:right w:val="nil"/>
            </w:tcBorders>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4" w:hRule="atLeast"/>
        </w:trPr>
        <w:tc>
          <w:tcPr>
            <w:tcW w:w="286"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8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792"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488"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51"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02"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0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02"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04"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359"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3102" w:type="dxa"/>
            <w:gridSpan w:val="6"/>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部门：廊坊市霸州市工商行政管理和食品药品监督管理局（本级）</w:t>
            </w:r>
          </w:p>
        </w:tc>
        <w:tc>
          <w:tcPr>
            <w:tcW w:w="1102"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0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02"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463" w:type="dxa"/>
            <w:gridSpan w:val="4"/>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7" w:hRule="atLeast"/>
        </w:trPr>
        <w:tc>
          <w:tcPr>
            <w:tcW w:w="285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885"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本年支出合计</w:t>
            </w:r>
          </w:p>
        </w:tc>
        <w:tc>
          <w:tcPr>
            <w:tcW w:w="865"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068"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068"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上缴上级支出</w:t>
            </w:r>
          </w:p>
        </w:tc>
        <w:tc>
          <w:tcPr>
            <w:tcW w:w="1068"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经营支出</w:t>
            </w:r>
          </w:p>
        </w:tc>
        <w:tc>
          <w:tcPr>
            <w:tcW w:w="1069" w:type="dxa"/>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2" w:hRule="atLeast"/>
        </w:trPr>
        <w:tc>
          <w:tcPr>
            <w:tcW w:w="1363"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48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85"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865"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68"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68"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68"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69" w:type="dxa"/>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5" w:hRule="atLeast"/>
        </w:trPr>
        <w:tc>
          <w:tcPr>
            <w:tcW w:w="2851"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88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86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06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2851"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88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color w:val="000000"/>
                <w:szCs w:val="21"/>
                <w:lang w:val="en-US" w:eastAsia="zh-CN"/>
              </w:rPr>
            </w:pPr>
            <w:r>
              <w:rPr>
                <w:rFonts w:hint="eastAsia" w:ascii="宋体" w:hAnsi="宋体" w:cs="宋体"/>
                <w:b w:val="0"/>
                <w:bCs/>
                <w:color w:val="000000"/>
                <w:szCs w:val="21"/>
                <w:lang w:val="en-US" w:eastAsia="zh-CN"/>
              </w:rPr>
              <w:t>4044.26</w:t>
            </w:r>
          </w:p>
        </w:tc>
        <w:tc>
          <w:tcPr>
            <w:tcW w:w="86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val="0"/>
                <w:bCs/>
                <w:color w:val="000000"/>
                <w:szCs w:val="21"/>
                <w:lang w:val="en-US" w:eastAsia="zh-CN"/>
              </w:rPr>
            </w:pPr>
            <w:r>
              <w:rPr>
                <w:rFonts w:hint="eastAsia" w:ascii="宋体" w:hAnsi="宋体" w:cs="宋体"/>
                <w:b w:val="0"/>
                <w:bCs/>
                <w:color w:val="000000"/>
                <w:szCs w:val="21"/>
                <w:lang w:val="en-US" w:eastAsia="zh-CN"/>
              </w:rPr>
              <w:t>3536.31</w:t>
            </w: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val="0"/>
                <w:bCs/>
                <w:color w:val="000000"/>
                <w:szCs w:val="21"/>
                <w:lang w:val="en-US" w:eastAsia="zh-CN"/>
              </w:rPr>
            </w:pPr>
            <w:r>
              <w:rPr>
                <w:rFonts w:hint="eastAsia" w:ascii="宋体" w:hAnsi="宋体" w:cs="宋体"/>
                <w:b w:val="0"/>
                <w:bCs/>
                <w:color w:val="000000"/>
                <w:szCs w:val="21"/>
                <w:lang w:val="en-US" w:eastAsia="zh-CN"/>
              </w:rPr>
              <w:t>507.95</w:t>
            </w: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106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8" w:hRule="atLeast"/>
        </w:trPr>
        <w:tc>
          <w:tcPr>
            <w:tcW w:w="108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rPr>
              <w:t>201</w:t>
            </w:r>
          </w:p>
        </w:tc>
        <w:tc>
          <w:tcPr>
            <w:tcW w:w="177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rPr>
              <w:t>一般公共服务支出</w:t>
            </w:r>
          </w:p>
        </w:tc>
        <w:tc>
          <w:tcPr>
            <w:tcW w:w="88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340.57</w:t>
            </w:r>
          </w:p>
        </w:tc>
        <w:tc>
          <w:tcPr>
            <w:tcW w:w="86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340.57</w:t>
            </w: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6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6" w:hRule="atLeast"/>
        </w:trPr>
        <w:tc>
          <w:tcPr>
            <w:tcW w:w="108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cs="宋体"/>
                <w:color w:val="000000"/>
                <w:szCs w:val="21"/>
              </w:rPr>
            </w:pPr>
            <w:r>
              <w:rPr>
                <w:rFonts w:hint="eastAsia" w:ascii="宋体" w:hAnsi="宋体" w:cs="宋体"/>
                <w:color w:val="000000"/>
                <w:szCs w:val="21"/>
              </w:rPr>
              <w:t>20115</w:t>
            </w:r>
          </w:p>
        </w:tc>
        <w:tc>
          <w:tcPr>
            <w:tcW w:w="177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rPr>
              <w:t>工商行政管理事务</w:t>
            </w:r>
          </w:p>
        </w:tc>
        <w:tc>
          <w:tcPr>
            <w:tcW w:w="88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340.57</w:t>
            </w:r>
          </w:p>
        </w:tc>
        <w:tc>
          <w:tcPr>
            <w:tcW w:w="86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340.57</w:t>
            </w: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6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9" w:hRule="atLeast"/>
        </w:trPr>
        <w:tc>
          <w:tcPr>
            <w:tcW w:w="108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rPr>
              <w:t>2011502</w:t>
            </w:r>
          </w:p>
        </w:tc>
        <w:tc>
          <w:tcPr>
            <w:tcW w:w="177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rPr>
              <w:t>一般行政管理事务</w:t>
            </w:r>
          </w:p>
        </w:tc>
        <w:tc>
          <w:tcPr>
            <w:tcW w:w="88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166.57</w:t>
            </w:r>
          </w:p>
        </w:tc>
        <w:tc>
          <w:tcPr>
            <w:tcW w:w="86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166.57</w:t>
            </w: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6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108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rPr>
              <w:t>2011504</w:t>
            </w:r>
          </w:p>
        </w:tc>
        <w:tc>
          <w:tcPr>
            <w:tcW w:w="177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rPr>
              <w:t>工商行政管理专项</w:t>
            </w:r>
          </w:p>
        </w:tc>
        <w:tc>
          <w:tcPr>
            <w:tcW w:w="88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18.00</w:t>
            </w:r>
          </w:p>
        </w:tc>
        <w:tc>
          <w:tcPr>
            <w:tcW w:w="86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18.00</w:t>
            </w: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6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4" w:hRule="atLeast"/>
        </w:trPr>
        <w:tc>
          <w:tcPr>
            <w:tcW w:w="108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rPr>
              <w:t>2011505</w:t>
            </w:r>
          </w:p>
        </w:tc>
        <w:tc>
          <w:tcPr>
            <w:tcW w:w="177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cs="宋体"/>
                <w:color w:val="000000"/>
                <w:szCs w:val="21"/>
              </w:rPr>
            </w:pPr>
            <w:r>
              <w:rPr>
                <w:rFonts w:hint="eastAsia" w:ascii="宋体" w:hAnsi="宋体" w:cs="宋体"/>
                <w:color w:val="000000"/>
                <w:szCs w:val="21"/>
              </w:rPr>
              <w:t>执法办案专项</w:t>
            </w:r>
          </w:p>
          <w:p>
            <w:pPr>
              <w:widowControl/>
              <w:spacing w:after="0" w:line="240" w:lineRule="atLeast"/>
              <w:jc w:val="center"/>
              <w:rPr>
                <w:rFonts w:ascii="宋体" w:hAnsi="宋体" w:cs="宋体"/>
                <w:color w:val="000000"/>
                <w:szCs w:val="21"/>
              </w:rPr>
            </w:pPr>
          </w:p>
        </w:tc>
        <w:tc>
          <w:tcPr>
            <w:tcW w:w="88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6.00</w:t>
            </w:r>
          </w:p>
        </w:tc>
        <w:tc>
          <w:tcPr>
            <w:tcW w:w="86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6.00</w:t>
            </w: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6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081" w:type="dxa"/>
            <w:gridSpan w:val="3"/>
            <w:tcBorders>
              <w:top w:val="nil"/>
              <w:left w:val="single" w:color="000000" w:sz="4" w:space="0"/>
              <w:bottom w:val="single" w:color="auto"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rPr>
              <w:t>2011506</w:t>
            </w:r>
          </w:p>
        </w:tc>
        <w:tc>
          <w:tcPr>
            <w:tcW w:w="1770" w:type="dxa"/>
            <w:gridSpan w:val="2"/>
            <w:tcBorders>
              <w:top w:val="nil"/>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rPr>
              <w:t>消费者权益保护</w:t>
            </w:r>
          </w:p>
        </w:tc>
        <w:tc>
          <w:tcPr>
            <w:tcW w:w="885" w:type="dxa"/>
            <w:gridSpan w:val="2"/>
            <w:tcBorders>
              <w:top w:val="nil"/>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150.00</w:t>
            </w:r>
          </w:p>
        </w:tc>
        <w:tc>
          <w:tcPr>
            <w:tcW w:w="865" w:type="dxa"/>
            <w:gridSpan w:val="2"/>
            <w:tcBorders>
              <w:top w:val="nil"/>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68" w:type="dxa"/>
            <w:gridSpan w:val="2"/>
            <w:tcBorders>
              <w:top w:val="nil"/>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150.00</w:t>
            </w:r>
          </w:p>
        </w:tc>
        <w:tc>
          <w:tcPr>
            <w:tcW w:w="1068" w:type="dxa"/>
            <w:gridSpan w:val="2"/>
            <w:tcBorders>
              <w:top w:val="nil"/>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68" w:type="dxa"/>
            <w:gridSpan w:val="2"/>
            <w:tcBorders>
              <w:top w:val="nil"/>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69" w:type="dxa"/>
            <w:tcBorders>
              <w:top w:val="nil"/>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6" w:hRule="atLeast"/>
        </w:trPr>
        <w:tc>
          <w:tcPr>
            <w:tcW w:w="1081" w:type="dxa"/>
            <w:gridSpan w:val="3"/>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cs="宋体"/>
                <w:color w:val="000000"/>
                <w:szCs w:val="21"/>
              </w:rPr>
            </w:pPr>
            <w:r>
              <w:rPr>
                <w:rFonts w:hint="eastAsia" w:ascii="宋体" w:hAnsi="宋体" w:cs="宋体"/>
                <w:color w:val="000000"/>
                <w:szCs w:val="21"/>
              </w:rPr>
              <w:t>210</w:t>
            </w:r>
          </w:p>
        </w:tc>
        <w:tc>
          <w:tcPr>
            <w:tcW w:w="1770"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cs="宋体"/>
                <w:color w:val="000000"/>
                <w:szCs w:val="21"/>
              </w:rPr>
            </w:pPr>
            <w:r>
              <w:rPr>
                <w:rFonts w:hint="eastAsia" w:ascii="宋体" w:hAnsi="宋体" w:cs="宋体"/>
                <w:color w:val="000000"/>
                <w:szCs w:val="21"/>
              </w:rPr>
              <w:t>医疗卫生与计划生育支出</w:t>
            </w:r>
          </w:p>
        </w:tc>
        <w:tc>
          <w:tcPr>
            <w:tcW w:w="885"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eastAsia="zh-CN"/>
              </w:rPr>
            </w:pPr>
            <w:r>
              <w:rPr>
                <w:rFonts w:hint="eastAsia" w:ascii="宋体" w:hAnsi="宋体" w:cs="宋体"/>
                <w:color w:val="000000"/>
                <w:szCs w:val="21"/>
                <w:lang w:val="en-US" w:eastAsia="zh-CN"/>
              </w:rPr>
              <w:t>3703.69</w:t>
            </w:r>
          </w:p>
        </w:tc>
        <w:tc>
          <w:tcPr>
            <w:tcW w:w="865"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3536.31</w:t>
            </w:r>
          </w:p>
        </w:tc>
        <w:tc>
          <w:tcPr>
            <w:tcW w:w="1068"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eastAsia="zh-CN"/>
              </w:rPr>
            </w:pPr>
            <w:r>
              <w:rPr>
                <w:rFonts w:hint="eastAsia" w:ascii="宋体" w:hAnsi="宋体" w:cs="宋体"/>
                <w:color w:val="000000"/>
                <w:szCs w:val="21"/>
                <w:lang w:val="en-US" w:eastAsia="zh-CN"/>
              </w:rPr>
              <w:t>167.38</w:t>
            </w:r>
          </w:p>
        </w:tc>
        <w:tc>
          <w:tcPr>
            <w:tcW w:w="1068"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68"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69"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081" w:type="dxa"/>
            <w:gridSpan w:val="3"/>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cs="宋体"/>
                <w:color w:val="000000"/>
                <w:szCs w:val="21"/>
              </w:rPr>
            </w:pPr>
            <w:r>
              <w:rPr>
                <w:rFonts w:hint="eastAsia" w:ascii="宋体" w:hAnsi="宋体" w:cs="宋体"/>
                <w:color w:val="000000"/>
                <w:szCs w:val="21"/>
              </w:rPr>
              <w:t>21004</w:t>
            </w:r>
          </w:p>
        </w:tc>
        <w:tc>
          <w:tcPr>
            <w:tcW w:w="1770"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cs="宋体"/>
                <w:color w:val="000000"/>
                <w:szCs w:val="21"/>
              </w:rPr>
            </w:pPr>
            <w:r>
              <w:rPr>
                <w:rFonts w:hint="eastAsia" w:ascii="宋体" w:hAnsi="宋体" w:cs="宋体"/>
                <w:color w:val="000000"/>
                <w:szCs w:val="21"/>
              </w:rPr>
              <w:t>公共卫生</w:t>
            </w:r>
          </w:p>
        </w:tc>
        <w:tc>
          <w:tcPr>
            <w:tcW w:w="885"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eastAsia="zh-CN"/>
              </w:rPr>
            </w:pPr>
            <w:r>
              <w:rPr>
                <w:rFonts w:hint="eastAsia" w:ascii="宋体" w:hAnsi="宋体" w:cs="宋体"/>
                <w:color w:val="000000"/>
                <w:szCs w:val="21"/>
                <w:lang w:val="en-US" w:eastAsia="zh-CN"/>
              </w:rPr>
              <w:t>6.88</w:t>
            </w:r>
          </w:p>
        </w:tc>
        <w:tc>
          <w:tcPr>
            <w:tcW w:w="865"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68"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eastAsia="zh-CN"/>
              </w:rPr>
            </w:pPr>
            <w:r>
              <w:rPr>
                <w:rFonts w:hint="eastAsia" w:ascii="宋体" w:hAnsi="宋体" w:cs="宋体"/>
                <w:color w:val="000000"/>
                <w:szCs w:val="21"/>
                <w:lang w:val="en-US" w:eastAsia="zh-CN"/>
              </w:rPr>
              <w:t>6.88</w:t>
            </w:r>
          </w:p>
        </w:tc>
        <w:tc>
          <w:tcPr>
            <w:tcW w:w="1068"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68"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69"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081" w:type="dxa"/>
            <w:gridSpan w:val="3"/>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cs="宋体"/>
                <w:color w:val="000000"/>
                <w:szCs w:val="21"/>
              </w:rPr>
            </w:pPr>
            <w:r>
              <w:rPr>
                <w:rFonts w:hint="eastAsia" w:ascii="宋体" w:hAnsi="宋体" w:cs="宋体"/>
                <w:color w:val="000000"/>
                <w:szCs w:val="21"/>
              </w:rPr>
              <w:t>2100409</w:t>
            </w:r>
          </w:p>
        </w:tc>
        <w:tc>
          <w:tcPr>
            <w:tcW w:w="1770"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cs="宋体"/>
                <w:color w:val="000000"/>
                <w:szCs w:val="21"/>
              </w:rPr>
            </w:pPr>
            <w:r>
              <w:rPr>
                <w:rFonts w:hint="eastAsia" w:ascii="宋体" w:hAnsi="宋体" w:cs="宋体"/>
                <w:color w:val="000000"/>
                <w:szCs w:val="21"/>
              </w:rPr>
              <w:t>重大公共卫生专项</w:t>
            </w:r>
          </w:p>
        </w:tc>
        <w:tc>
          <w:tcPr>
            <w:tcW w:w="885"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eastAsia="zh-CN"/>
              </w:rPr>
            </w:pPr>
            <w:r>
              <w:rPr>
                <w:rFonts w:hint="eastAsia" w:ascii="宋体" w:hAnsi="宋体" w:cs="宋体"/>
                <w:color w:val="000000"/>
                <w:szCs w:val="21"/>
                <w:lang w:val="en-US" w:eastAsia="zh-CN"/>
              </w:rPr>
              <w:t>4.72</w:t>
            </w:r>
          </w:p>
        </w:tc>
        <w:tc>
          <w:tcPr>
            <w:tcW w:w="865"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68"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eastAsia="zh-CN"/>
              </w:rPr>
            </w:pPr>
            <w:r>
              <w:rPr>
                <w:rFonts w:hint="eastAsia" w:ascii="宋体" w:hAnsi="宋体" w:cs="宋体"/>
                <w:color w:val="000000"/>
                <w:szCs w:val="21"/>
                <w:lang w:val="en-US" w:eastAsia="zh-CN"/>
              </w:rPr>
              <w:t>4.72</w:t>
            </w:r>
          </w:p>
        </w:tc>
        <w:tc>
          <w:tcPr>
            <w:tcW w:w="1068"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68"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69"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081" w:type="dxa"/>
            <w:gridSpan w:val="3"/>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cs="宋体"/>
                <w:color w:val="000000"/>
                <w:szCs w:val="21"/>
              </w:rPr>
            </w:pPr>
            <w:r>
              <w:rPr>
                <w:rFonts w:hint="eastAsia" w:ascii="宋体" w:hAnsi="宋体" w:cs="宋体"/>
                <w:color w:val="000000"/>
                <w:szCs w:val="21"/>
              </w:rPr>
              <w:t>2100499</w:t>
            </w:r>
          </w:p>
        </w:tc>
        <w:tc>
          <w:tcPr>
            <w:tcW w:w="1770"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cs="宋体"/>
                <w:color w:val="000000"/>
                <w:szCs w:val="21"/>
              </w:rPr>
            </w:pPr>
            <w:r>
              <w:rPr>
                <w:rFonts w:hint="eastAsia" w:ascii="宋体" w:hAnsi="宋体" w:cs="宋体"/>
                <w:color w:val="000000"/>
                <w:szCs w:val="21"/>
              </w:rPr>
              <w:t>其他公共卫生支出</w:t>
            </w:r>
          </w:p>
        </w:tc>
        <w:tc>
          <w:tcPr>
            <w:tcW w:w="885"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eastAsia="zh-CN"/>
              </w:rPr>
            </w:pPr>
            <w:r>
              <w:rPr>
                <w:rFonts w:hint="eastAsia" w:ascii="宋体" w:hAnsi="宋体" w:cs="宋体"/>
                <w:color w:val="000000"/>
                <w:szCs w:val="21"/>
                <w:lang w:val="en-US" w:eastAsia="zh-CN"/>
              </w:rPr>
              <w:t>2.16</w:t>
            </w:r>
          </w:p>
        </w:tc>
        <w:tc>
          <w:tcPr>
            <w:tcW w:w="865"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68"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eastAsia="zh-CN"/>
              </w:rPr>
            </w:pPr>
            <w:r>
              <w:rPr>
                <w:rFonts w:hint="eastAsia" w:ascii="宋体" w:hAnsi="宋体" w:cs="宋体"/>
                <w:color w:val="000000"/>
                <w:szCs w:val="21"/>
                <w:lang w:val="en-US" w:eastAsia="zh-CN"/>
              </w:rPr>
              <w:t>2.16</w:t>
            </w:r>
          </w:p>
        </w:tc>
        <w:tc>
          <w:tcPr>
            <w:tcW w:w="1068"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68"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69"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081" w:type="dxa"/>
            <w:gridSpan w:val="3"/>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cs="宋体"/>
                <w:color w:val="000000"/>
                <w:szCs w:val="21"/>
              </w:rPr>
            </w:pPr>
            <w:r>
              <w:rPr>
                <w:rFonts w:hint="eastAsia" w:ascii="宋体" w:hAnsi="宋体" w:cs="宋体"/>
                <w:color w:val="000000"/>
                <w:szCs w:val="21"/>
              </w:rPr>
              <w:t>21010</w:t>
            </w:r>
          </w:p>
        </w:tc>
        <w:tc>
          <w:tcPr>
            <w:tcW w:w="1770"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cs="宋体"/>
                <w:color w:val="000000"/>
                <w:szCs w:val="21"/>
              </w:rPr>
            </w:pPr>
            <w:r>
              <w:rPr>
                <w:rFonts w:hint="eastAsia" w:ascii="宋体" w:hAnsi="宋体" w:cs="宋体"/>
                <w:color w:val="000000"/>
                <w:szCs w:val="21"/>
              </w:rPr>
              <w:t>食品和药品监督管理事务</w:t>
            </w:r>
          </w:p>
        </w:tc>
        <w:tc>
          <w:tcPr>
            <w:tcW w:w="885"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eastAsia="zh-CN"/>
              </w:rPr>
            </w:pPr>
            <w:r>
              <w:rPr>
                <w:rFonts w:hint="eastAsia" w:ascii="宋体" w:hAnsi="宋体" w:cs="宋体"/>
                <w:color w:val="000000"/>
                <w:szCs w:val="21"/>
                <w:lang w:val="en-US" w:eastAsia="zh-CN"/>
              </w:rPr>
              <w:t>3696.81</w:t>
            </w:r>
          </w:p>
        </w:tc>
        <w:tc>
          <w:tcPr>
            <w:tcW w:w="865"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3536.31</w:t>
            </w:r>
          </w:p>
        </w:tc>
        <w:tc>
          <w:tcPr>
            <w:tcW w:w="1068"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eastAsia="zh-CN"/>
              </w:rPr>
            </w:pPr>
            <w:r>
              <w:rPr>
                <w:rFonts w:hint="eastAsia" w:ascii="宋体" w:hAnsi="宋体" w:cs="宋体"/>
                <w:color w:val="000000"/>
                <w:szCs w:val="21"/>
                <w:lang w:val="en-US" w:eastAsia="zh-CN"/>
              </w:rPr>
              <w:t>160.50</w:t>
            </w:r>
          </w:p>
        </w:tc>
        <w:tc>
          <w:tcPr>
            <w:tcW w:w="1068"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68"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69"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081" w:type="dxa"/>
            <w:gridSpan w:val="3"/>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cs="宋体"/>
                <w:color w:val="000000"/>
                <w:szCs w:val="21"/>
              </w:rPr>
            </w:pPr>
            <w:r>
              <w:rPr>
                <w:rFonts w:hint="eastAsia" w:ascii="宋体" w:hAnsi="宋体" w:cs="宋体"/>
                <w:color w:val="000000"/>
                <w:szCs w:val="21"/>
              </w:rPr>
              <w:t>2101001</w:t>
            </w:r>
          </w:p>
        </w:tc>
        <w:tc>
          <w:tcPr>
            <w:tcW w:w="1770"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cs="宋体"/>
                <w:color w:val="000000"/>
                <w:szCs w:val="21"/>
              </w:rPr>
            </w:pPr>
            <w:r>
              <w:rPr>
                <w:rFonts w:hint="eastAsia" w:ascii="宋体" w:hAnsi="宋体" w:cs="宋体"/>
                <w:color w:val="000000"/>
                <w:szCs w:val="21"/>
              </w:rPr>
              <w:t>行政运行</w:t>
            </w:r>
          </w:p>
        </w:tc>
        <w:tc>
          <w:tcPr>
            <w:tcW w:w="885"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eastAsia="zh-CN"/>
              </w:rPr>
            </w:pPr>
            <w:r>
              <w:rPr>
                <w:rFonts w:hint="eastAsia" w:ascii="宋体" w:hAnsi="宋体" w:cs="宋体"/>
                <w:color w:val="000000"/>
                <w:szCs w:val="21"/>
                <w:lang w:val="en-US" w:eastAsia="zh-CN"/>
              </w:rPr>
              <w:t>3536.31</w:t>
            </w:r>
          </w:p>
        </w:tc>
        <w:tc>
          <w:tcPr>
            <w:tcW w:w="865"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3536.31</w:t>
            </w:r>
          </w:p>
        </w:tc>
        <w:tc>
          <w:tcPr>
            <w:tcW w:w="1068"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cs="宋体"/>
                <w:color w:val="000000"/>
                <w:szCs w:val="21"/>
                <w:lang w:val="en-US" w:eastAsia="zh-CN"/>
              </w:rPr>
            </w:pPr>
          </w:p>
        </w:tc>
        <w:tc>
          <w:tcPr>
            <w:tcW w:w="1068"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68"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69"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081" w:type="dxa"/>
            <w:gridSpan w:val="3"/>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cs="宋体"/>
                <w:color w:val="000000"/>
                <w:szCs w:val="21"/>
              </w:rPr>
            </w:pPr>
            <w:r>
              <w:rPr>
                <w:rFonts w:hint="eastAsia" w:ascii="宋体" w:hAnsi="宋体" w:cs="宋体"/>
                <w:color w:val="000000"/>
                <w:szCs w:val="21"/>
              </w:rPr>
              <w:t>2101002</w:t>
            </w:r>
          </w:p>
        </w:tc>
        <w:tc>
          <w:tcPr>
            <w:tcW w:w="1770"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cs="宋体"/>
                <w:color w:val="000000"/>
                <w:szCs w:val="21"/>
              </w:rPr>
            </w:pPr>
            <w:r>
              <w:rPr>
                <w:rFonts w:hint="eastAsia" w:ascii="宋体" w:hAnsi="宋体" w:cs="宋体"/>
                <w:color w:val="000000"/>
                <w:szCs w:val="21"/>
              </w:rPr>
              <w:t>一般行政管理事务</w:t>
            </w:r>
          </w:p>
        </w:tc>
        <w:tc>
          <w:tcPr>
            <w:tcW w:w="885"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eastAsia="zh-CN"/>
              </w:rPr>
            </w:pPr>
            <w:r>
              <w:rPr>
                <w:rFonts w:hint="eastAsia" w:ascii="宋体" w:hAnsi="宋体" w:cs="宋体"/>
                <w:color w:val="000000"/>
                <w:szCs w:val="21"/>
                <w:lang w:val="en-US" w:eastAsia="zh-CN"/>
              </w:rPr>
              <w:t>48.00</w:t>
            </w:r>
          </w:p>
        </w:tc>
        <w:tc>
          <w:tcPr>
            <w:tcW w:w="865"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68"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eastAsia="zh-CN"/>
              </w:rPr>
            </w:pPr>
            <w:r>
              <w:rPr>
                <w:rFonts w:hint="eastAsia" w:ascii="宋体" w:hAnsi="宋体" w:cs="宋体"/>
                <w:color w:val="000000"/>
                <w:szCs w:val="21"/>
                <w:lang w:val="en-US" w:eastAsia="zh-CN"/>
              </w:rPr>
              <w:t>48.00</w:t>
            </w:r>
          </w:p>
        </w:tc>
        <w:tc>
          <w:tcPr>
            <w:tcW w:w="1068"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68"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69"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1" w:hRule="atLeast"/>
        </w:trPr>
        <w:tc>
          <w:tcPr>
            <w:tcW w:w="1081" w:type="dxa"/>
            <w:gridSpan w:val="3"/>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cs="宋体"/>
                <w:color w:val="000000"/>
                <w:szCs w:val="21"/>
              </w:rPr>
            </w:pPr>
          </w:p>
          <w:p>
            <w:pPr>
              <w:widowControl/>
              <w:spacing w:after="0" w:line="240" w:lineRule="atLeast"/>
              <w:jc w:val="center"/>
              <w:rPr>
                <w:rFonts w:hint="eastAsia" w:ascii="宋体" w:hAnsi="宋体" w:cs="宋体"/>
                <w:color w:val="000000"/>
                <w:szCs w:val="21"/>
              </w:rPr>
            </w:pPr>
            <w:r>
              <w:rPr>
                <w:rFonts w:hint="eastAsia" w:ascii="宋体" w:hAnsi="宋体" w:cs="宋体"/>
                <w:color w:val="000000"/>
                <w:szCs w:val="21"/>
              </w:rPr>
              <w:t>2101016</w:t>
            </w:r>
          </w:p>
        </w:tc>
        <w:tc>
          <w:tcPr>
            <w:tcW w:w="1770"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cs="宋体"/>
                <w:color w:val="000000"/>
                <w:szCs w:val="21"/>
              </w:rPr>
            </w:pPr>
            <w:r>
              <w:rPr>
                <w:rFonts w:hint="eastAsia" w:ascii="宋体" w:hAnsi="宋体" w:cs="宋体"/>
                <w:color w:val="000000"/>
                <w:szCs w:val="21"/>
              </w:rPr>
              <w:t>食品安全事务</w:t>
            </w:r>
          </w:p>
        </w:tc>
        <w:tc>
          <w:tcPr>
            <w:tcW w:w="885"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eastAsia="zh-CN"/>
              </w:rPr>
            </w:pPr>
            <w:r>
              <w:rPr>
                <w:rFonts w:hint="eastAsia" w:ascii="宋体" w:hAnsi="宋体" w:cs="宋体"/>
                <w:color w:val="000000"/>
                <w:szCs w:val="21"/>
                <w:lang w:val="en-US" w:eastAsia="zh-CN"/>
              </w:rPr>
              <w:t>105.00</w:t>
            </w:r>
          </w:p>
        </w:tc>
        <w:tc>
          <w:tcPr>
            <w:tcW w:w="865"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68"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eastAsia="zh-CN"/>
              </w:rPr>
            </w:pPr>
            <w:r>
              <w:rPr>
                <w:rFonts w:hint="eastAsia" w:ascii="宋体" w:hAnsi="宋体" w:cs="宋体"/>
                <w:color w:val="000000"/>
                <w:szCs w:val="21"/>
                <w:lang w:val="en-US" w:eastAsia="zh-CN"/>
              </w:rPr>
              <w:t>105.00</w:t>
            </w:r>
          </w:p>
        </w:tc>
        <w:tc>
          <w:tcPr>
            <w:tcW w:w="1068"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68"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69"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081" w:type="dxa"/>
            <w:gridSpan w:val="3"/>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cs="宋体"/>
                <w:color w:val="000000"/>
                <w:szCs w:val="21"/>
              </w:rPr>
            </w:pPr>
            <w:r>
              <w:rPr>
                <w:rFonts w:hint="eastAsia" w:ascii="宋体" w:hAnsi="宋体" w:cs="宋体"/>
                <w:color w:val="000000"/>
                <w:szCs w:val="21"/>
              </w:rPr>
              <w:t>2101099</w:t>
            </w:r>
          </w:p>
        </w:tc>
        <w:tc>
          <w:tcPr>
            <w:tcW w:w="1770"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cs="宋体"/>
                <w:color w:val="000000"/>
                <w:szCs w:val="21"/>
              </w:rPr>
            </w:pPr>
            <w:r>
              <w:rPr>
                <w:rFonts w:hint="eastAsia" w:ascii="宋体" w:hAnsi="宋体" w:cs="宋体"/>
                <w:color w:val="000000"/>
                <w:szCs w:val="21"/>
              </w:rPr>
              <w:t>其他食品和药品监督管理事务支出</w:t>
            </w:r>
          </w:p>
        </w:tc>
        <w:tc>
          <w:tcPr>
            <w:tcW w:w="885"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eastAsia="zh-CN"/>
              </w:rPr>
            </w:pPr>
            <w:r>
              <w:rPr>
                <w:rFonts w:hint="eastAsia" w:ascii="宋体" w:hAnsi="宋体" w:cs="宋体"/>
                <w:color w:val="000000"/>
                <w:szCs w:val="21"/>
                <w:lang w:val="en-US" w:eastAsia="zh-CN"/>
              </w:rPr>
              <w:t>7.50</w:t>
            </w:r>
          </w:p>
        </w:tc>
        <w:tc>
          <w:tcPr>
            <w:tcW w:w="865"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68"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eastAsia="zh-CN"/>
              </w:rPr>
            </w:pPr>
            <w:r>
              <w:rPr>
                <w:rFonts w:hint="eastAsia" w:ascii="宋体" w:hAnsi="宋体" w:cs="宋体"/>
                <w:color w:val="000000"/>
                <w:szCs w:val="21"/>
                <w:lang w:val="en-US" w:eastAsia="zh-CN"/>
              </w:rPr>
              <w:t>7.50</w:t>
            </w:r>
          </w:p>
        </w:tc>
        <w:tc>
          <w:tcPr>
            <w:tcW w:w="1068"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68"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69"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r>
        <w:rPr>
          <w:rFonts w:hint="eastAsia" w:ascii="宋体" w:hAnsi="宋体" w:cs="宋体"/>
          <w:color w:val="000000"/>
          <w:kern w:val="0"/>
          <w:szCs w:val="21"/>
        </w:rPr>
        <w:t>注：本表反映部门本年度各项支出情况。</w:t>
      </w:r>
    </w:p>
    <w:tbl>
      <w:tblPr>
        <w:tblStyle w:val="12"/>
        <w:tblW w:w="8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71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部门：廊坊市霸州市工商行政管理和食品药品监督管理局（本级）</w:t>
            </w:r>
          </w:p>
        </w:tc>
        <w:tc>
          <w:tcPr>
            <w:tcW w:w="65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收     入</w:t>
            </w:r>
          </w:p>
        </w:tc>
        <w:tc>
          <w:tcPr>
            <w:tcW w:w="6153" w:type="dxa"/>
            <w:gridSpan w:val="9"/>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4016.05</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4044.25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lang w:val="en-US" w:eastAsia="zh-CN"/>
              </w:rPr>
              <w:t>4044.25</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二、外交支出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三、国防支出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五、教育支出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十六、金融支出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lang w:val="en-US" w:eastAsia="zh-CN"/>
              </w:rPr>
              <w:t>4016.05</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9.13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9.13</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37.33</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9.13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9.13</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一般公共预算财政拨款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37.33</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政府性基金预算财政拨款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4053.38</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4053.38</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lang w:val="en-US" w:eastAsia="zh-CN"/>
              </w:rPr>
              <w:t>4053.38</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7"/>
        <w:gridCol w:w="319"/>
        <w:gridCol w:w="357"/>
        <w:gridCol w:w="2109"/>
        <w:gridCol w:w="745"/>
        <w:gridCol w:w="1174"/>
        <w:gridCol w:w="718"/>
        <w:gridCol w:w="1201"/>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860" w:type="dxa"/>
            <w:gridSpan w:val="9"/>
            <w:tcBorders>
              <w:top w:val="nil"/>
              <w:left w:val="nil"/>
              <w:bottom w:val="nil"/>
              <w:right w:val="nil"/>
            </w:tcBorders>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trPr>
        <w:tc>
          <w:tcPr>
            <w:tcW w:w="31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10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74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trPr>
        <w:tc>
          <w:tcPr>
            <w:tcW w:w="3847" w:type="dxa"/>
            <w:gridSpan w:val="5"/>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部门：廊坊市霸州市工商行政管理和食品药品监督管理局（本级）</w:t>
            </w:r>
          </w:p>
        </w:tc>
        <w:tc>
          <w:tcPr>
            <w:tcW w:w="1892"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 w:hRule="atLeast"/>
        </w:trPr>
        <w:tc>
          <w:tcPr>
            <w:tcW w:w="310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5758"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210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92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109"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109"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color w:val="000000"/>
                <w:szCs w:val="21"/>
                <w:lang w:val="en-US" w:eastAsia="zh-CN"/>
              </w:rPr>
            </w:pPr>
            <w:r>
              <w:rPr>
                <w:rFonts w:hint="eastAsia" w:ascii="宋体" w:hAnsi="宋体" w:cs="宋体"/>
                <w:b w:val="0"/>
                <w:bCs/>
                <w:color w:val="000000"/>
                <w:szCs w:val="21"/>
                <w:lang w:val="en-US" w:eastAsia="zh-CN"/>
              </w:rPr>
              <w:t>4044.25</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val="0"/>
                <w:bCs/>
                <w:color w:val="000000"/>
                <w:szCs w:val="21"/>
                <w:lang w:val="en-US" w:eastAsia="zh-CN"/>
              </w:rPr>
            </w:pPr>
            <w:r>
              <w:rPr>
                <w:rFonts w:hint="eastAsia" w:ascii="宋体" w:hAnsi="宋体" w:cs="宋体"/>
                <w:b w:val="0"/>
                <w:bCs/>
                <w:color w:val="000000"/>
                <w:szCs w:val="21"/>
                <w:lang w:val="en-US" w:eastAsia="zh-CN"/>
              </w:rPr>
              <w:t>3536.31</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val="0"/>
                <w:bCs/>
                <w:color w:val="000000"/>
                <w:szCs w:val="21"/>
                <w:lang w:val="en-US" w:eastAsia="zh-CN"/>
              </w:rPr>
            </w:pPr>
            <w:r>
              <w:rPr>
                <w:rFonts w:hint="eastAsia" w:ascii="宋体" w:hAnsi="宋体" w:cs="宋体"/>
                <w:b w:val="0"/>
                <w:bCs/>
                <w:color w:val="000000"/>
                <w:szCs w:val="21"/>
                <w:lang w:val="en-US" w:eastAsia="zh-CN"/>
              </w:rPr>
              <w:t>507.95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201</w:t>
            </w:r>
            <w:r>
              <w:rPr>
                <w:rFonts w:hint="eastAsia" w:ascii="宋体" w:hAnsi="宋体" w:cs="宋体"/>
                <w:color w:val="000000"/>
                <w:szCs w:val="21"/>
              </w:rPr>
              <w:tab/>
            </w:r>
            <w:r>
              <w:rPr>
                <w:rFonts w:hint="eastAsia" w:ascii="宋体" w:hAnsi="宋体" w:cs="宋体"/>
                <w:color w:val="000000"/>
                <w:szCs w:val="21"/>
              </w:rPr>
              <w:tab/>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lang w:eastAsia="zh-CN"/>
              </w:rPr>
            </w:pPr>
            <w:r>
              <w:rPr>
                <w:rFonts w:hint="eastAsia" w:ascii="宋体" w:hAnsi="宋体" w:cs="宋体"/>
                <w:color w:val="000000"/>
                <w:szCs w:val="21"/>
                <w:lang w:eastAsia="zh-CN"/>
              </w:rPr>
              <w:t>一般公共服务支出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340.57</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340.57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20115</w:t>
            </w:r>
            <w:r>
              <w:rPr>
                <w:rFonts w:hint="eastAsia" w:ascii="宋体" w:hAnsi="宋体" w:cs="宋体"/>
                <w:color w:val="000000"/>
                <w:szCs w:val="21"/>
              </w:rPr>
              <w:tab/>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lang w:eastAsia="zh-CN"/>
              </w:rPr>
            </w:pPr>
            <w:r>
              <w:rPr>
                <w:rFonts w:hint="eastAsia" w:ascii="宋体" w:hAnsi="宋体" w:cs="宋体"/>
                <w:color w:val="000000"/>
                <w:szCs w:val="21"/>
                <w:lang w:eastAsia="zh-CN"/>
              </w:rPr>
              <w:t>工商行政管理事务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340.57</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340.57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2011502</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lang w:eastAsia="zh-CN"/>
              </w:rPr>
            </w:pPr>
            <w:r>
              <w:rPr>
                <w:rFonts w:hint="eastAsia" w:ascii="宋体" w:hAnsi="宋体" w:cs="宋体"/>
                <w:color w:val="000000"/>
                <w:szCs w:val="21"/>
                <w:lang w:eastAsia="zh-CN"/>
              </w:rPr>
              <w:t>一般行政管理事务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166.57</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166.57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2011504</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lang w:eastAsia="zh-CN"/>
              </w:rPr>
            </w:pPr>
            <w:r>
              <w:rPr>
                <w:rFonts w:hint="eastAsia" w:ascii="宋体" w:hAnsi="宋体" w:cs="宋体"/>
                <w:color w:val="000000"/>
                <w:szCs w:val="21"/>
                <w:lang w:eastAsia="zh-CN"/>
              </w:rPr>
              <w:t>工商行政管理专项</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18.00</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2011505</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lang w:eastAsia="zh-CN"/>
              </w:rPr>
            </w:pPr>
            <w:r>
              <w:rPr>
                <w:rFonts w:hint="eastAsia" w:ascii="宋体" w:hAnsi="宋体" w:cs="宋体"/>
                <w:color w:val="000000"/>
                <w:szCs w:val="21"/>
                <w:lang w:eastAsia="zh-CN"/>
              </w:rPr>
              <w:t>执法办案专项</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6.00</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default" w:ascii="宋体" w:hAnsi="宋体" w:cs="宋体"/>
                <w:color w:val="000000"/>
                <w:szCs w:val="21"/>
                <w:lang w:val="en-US" w:eastAsia="zh-CN"/>
              </w:rPr>
            </w:pPr>
            <w:r>
              <w:rPr>
                <w:rFonts w:hint="eastAsia" w:ascii="宋体" w:hAnsi="宋体" w:cs="宋体"/>
                <w:color w:val="000000"/>
                <w:szCs w:val="21"/>
                <w:lang w:val="en-US" w:eastAsia="zh-CN"/>
              </w:rPr>
              <w:t>2011506</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lang w:eastAsia="zh-CN"/>
              </w:rPr>
            </w:pPr>
            <w:r>
              <w:rPr>
                <w:rFonts w:hint="eastAsia" w:ascii="宋体" w:hAnsi="宋体" w:cs="宋体"/>
                <w:color w:val="000000"/>
                <w:szCs w:val="21"/>
                <w:lang w:eastAsia="zh-CN"/>
              </w:rPr>
              <w:t>消费者权益保护</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150.00</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6"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210</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cs="宋体"/>
                <w:color w:val="000000"/>
                <w:szCs w:val="21"/>
              </w:rPr>
            </w:pPr>
            <w:r>
              <w:rPr>
                <w:rFonts w:hint="eastAsia" w:ascii="宋体" w:hAnsi="宋体" w:cs="宋体"/>
                <w:color w:val="000000"/>
                <w:szCs w:val="21"/>
              </w:rPr>
              <w:t>医疗卫生与计划生育支出</w:t>
            </w:r>
          </w:p>
          <w:p>
            <w:pPr>
              <w:widowControl/>
              <w:spacing w:after="0" w:line="240" w:lineRule="atLeast"/>
              <w:jc w:val="both"/>
              <w:rPr>
                <w:rFonts w:ascii="宋体" w:hAnsi="宋体" w:cs="宋体"/>
                <w:color w:val="000000"/>
                <w:szCs w:val="21"/>
              </w:rPr>
            </w:pP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3703.68</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b w:val="0"/>
                <w:bCs/>
                <w:color w:val="000000"/>
                <w:szCs w:val="21"/>
                <w:lang w:val="en-US" w:eastAsia="zh-CN"/>
              </w:rPr>
              <w:t>3536.31</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167.38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21004</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rPr>
              <w:t>公共卫生</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6.88</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2100409</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rPr>
              <w:t>重大公共卫生专项</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4.72</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2100409</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rPr>
              <w:t>其他公共卫生支出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tbl>
            <w:tblPr>
              <w:tblStyle w:val="12"/>
              <w:tblW w:w="19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2.16</w:t>
                  </w:r>
                </w:p>
              </w:tc>
            </w:tr>
          </w:tbl>
          <w:p>
            <w:pPr>
              <w:widowControl/>
              <w:spacing w:after="0" w:line="240" w:lineRule="atLeast"/>
              <w:jc w:val="right"/>
              <w:rPr>
                <w:rFonts w:ascii="宋体" w:hAnsi="宋体" w:cs="宋体"/>
                <w:color w:val="000000"/>
                <w:szCs w:val="21"/>
              </w:rPr>
            </w:pP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tbl>
            <w:tblPr>
              <w:tblStyle w:val="12"/>
              <w:tblW w:w="19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2.16</w:t>
                  </w:r>
                </w:p>
              </w:tc>
            </w:tr>
          </w:tbl>
          <w:p>
            <w:pPr>
              <w:widowControl/>
              <w:spacing w:after="0" w:line="240" w:lineRule="atLeast"/>
              <w:jc w:val="right"/>
              <w:rPr>
                <w:rFonts w:hint="default" w:ascii="宋体" w:hAnsi="宋体" w:eastAsia="宋体" w:cs="宋体"/>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21010</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cs="宋体"/>
                <w:color w:val="000000"/>
                <w:szCs w:val="21"/>
              </w:rPr>
            </w:pPr>
            <w:r>
              <w:rPr>
                <w:rFonts w:hint="eastAsia" w:ascii="宋体" w:hAnsi="宋体" w:cs="宋体"/>
                <w:color w:val="000000"/>
                <w:szCs w:val="21"/>
              </w:rPr>
              <w:t>食品和药品监督管理事务</w:t>
            </w:r>
          </w:p>
          <w:p>
            <w:pPr>
              <w:widowControl/>
              <w:spacing w:after="0" w:line="240" w:lineRule="atLeast"/>
              <w:jc w:val="center"/>
              <w:rPr>
                <w:rFonts w:ascii="宋体" w:hAnsi="宋体" w:cs="宋体"/>
                <w:color w:val="000000"/>
                <w:szCs w:val="21"/>
              </w:rPr>
            </w:pP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3696.81</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b w:val="0"/>
                <w:bCs/>
                <w:color w:val="000000"/>
                <w:szCs w:val="21"/>
                <w:lang w:val="en-US" w:eastAsia="zh-CN"/>
              </w:rPr>
              <w:t>3536.31</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160.50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2101001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cs="宋体"/>
                <w:color w:val="000000"/>
                <w:szCs w:val="21"/>
              </w:rPr>
            </w:pPr>
            <w:r>
              <w:rPr>
                <w:rFonts w:hint="eastAsia" w:ascii="宋体" w:hAnsi="宋体" w:cs="宋体"/>
                <w:color w:val="000000"/>
                <w:szCs w:val="21"/>
              </w:rPr>
              <w:t>行政运行</w:t>
            </w:r>
          </w:p>
          <w:p>
            <w:pPr>
              <w:widowControl/>
              <w:spacing w:after="0" w:line="240" w:lineRule="atLeast"/>
              <w:jc w:val="center"/>
              <w:rPr>
                <w:rFonts w:ascii="宋体" w:hAnsi="宋体" w:cs="宋体"/>
                <w:color w:val="000000"/>
                <w:szCs w:val="21"/>
              </w:rPr>
            </w:pP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eastAsia="zh-CN"/>
              </w:rPr>
            </w:pPr>
            <w:r>
              <w:rPr>
                <w:rFonts w:hint="eastAsia" w:ascii="宋体" w:hAnsi="宋体" w:cs="宋体"/>
                <w:color w:val="000000"/>
                <w:szCs w:val="21"/>
                <w:lang w:val="en-US" w:eastAsia="zh-CN"/>
              </w:rPr>
              <w:t>3536.31</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b w:val="0"/>
                <w:bCs/>
                <w:color w:val="000000"/>
                <w:szCs w:val="21"/>
                <w:lang w:val="en-US" w:eastAsia="zh-CN"/>
              </w:rPr>
              <w:t>3536.31</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2101002</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cs="宋体"/>
                <w:color w:val="000000"/>
                <w:szCs w:val="21"/>
              </w:rPr>
            </w:pPr>
            <w:r>
              <w:rPr>
                <w:rFonts w:hint="eastAsia" w:ascii="宋体" w:hAnsi="宋体" w:cs="宋体"/>
                <w:color w:val="000000"/>
                <w:szCs w:val="21"/>
              </w:rPr>
              <w:t>一般行政管理事务</w:t>
            </w:r>
          </w:p>
          <w:p>
            <w:pPr>
              <w:widowControl/>
              <w:spacing w:after="0" w:line="240" w:lineRule="atLeast"/>
              <w:jc w:val="center"/>
              <w:rPr>
                <w:rFonts w:ascii="宋体" w:hAnsi="宋体" w:cs="宋体"/>
                <w:color w:val="000000"/>
                <w:szCs w:val="21"/>
              </w:rPr>
            </w:pP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48.00</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2101016</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cs="宋体"/>
                <w:color w:val="000000"/>
                <w:szCs w:val="21"/>
              </w:rPr>
            </w:pPr>
            <w:r>
              <w:rPr>
                <w:rFonts w:hint="eastAsia" w:ascii="宋体" w:hAnsi="宋体" w:cs="宋体"/>
                <w:color w:val="000000"/>
                <w:szCs w:val="21"/>
              </w:rPr>
              <w:t>食品安全事务</w:t>
            </w:r>
          </w:p>
          <w:p>
            <w:pPr>
              <w:widowControl/>
              <w:spacing w:after="0" w:line="240" w:lineRule="atLeast"/>
              <w:jc w:val="center"/>
              <w:rPr>
                <w:rFonts w:ascii="宋体" w:hAnsi="宋体" w:cs="宋体"/>
                <w:color w:val="000000"/>
                <w:szCs w:val="21"/>
              </w:rPr>
            </w:pP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105.00</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2101099</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rPr>
              <w:t>其他食品和药品监督管理事务支出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7.50</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8860" w:type="dxa"/>
            <w:gridSpan w:val="9"/>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注：本表反映部门本年度一般公共预算财政拨款收入及支出情况。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91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 w:hRule="atLeast"/>
          <w:jc w:val="center"/>
        </w:trPr>
        <w:tc>
          <w:tcPr>
            <w:tcW w:w="558"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7"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3"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 w:hRule="atLeast"/>
          <w:jc w:val="center"/>
        </w:trPr>
        <w:tc>
          <w:tcPr>
            <w:tcW w:w="5235" w:type="dxa"/>
            <w:gridSpan w:val="5"/>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部门：廊坊市霸州市工商行政管理和食品药品监督管理局（本级）</w:t>
            </w:r>
          </w:p>
        </w:tc>
        <w:tc>
          <w:tcPr>
            <w:tcW w:w="74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人员经费</w:t>
            </w:r>
          </w:p>
        </w:tc>
        <w:tc>
          <w:tcPr>
            <w:tcW w:w="6185" w:type="dxa"/>
            <w:gridSpan w:val="6"/>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558"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59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47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7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56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558"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59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4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47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63"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74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56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88"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5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工资福利支出</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商品和服务支出</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基本工资</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lang w:val="en-US" w:eastAsia="zh-CN"/>
              </w:rPr>
              <w:t>865.77</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25.00</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国内债务付息</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津贴补贴</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700.14</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印刷费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11.70</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国外债务付息</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43.07</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30203</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咨询费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0.21</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资本性支出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30106</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伙食补助费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手续费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房屋建筑物购建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30107</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绩效工资</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343.28</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水费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0.13</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办公设备购置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30108</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机关事业单位基本养老保险缴费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346.75</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电费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15.33</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专用设备购置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职业年金缴费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33.91</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邮电费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120.31</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31005</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基础设施建设</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30110</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职工基本医疗保险缴费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122.70</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取暖费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19.52</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大型修缮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公务员医疗补助缴费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物业管理费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信息网络及软件购置更新</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其他社会保障缴费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9.55</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差旅费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2.65</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物资储备</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住房公积金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208.77</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因公出国（境）费用</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土地补偿</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30114</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30213</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维修（护）费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8.80</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安置补助</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30199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其他工资福利支出</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0.94</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租赁费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地上附着物和青苗补偿</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会议费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拆迁补偿</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离休费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培训费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1.77</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退休费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公务接待费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其他交通工具购置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退职（役）费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专用材料费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文物和陈列品购置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30304</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抚恤金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被装购置费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无形资产购置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30305</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生活补助</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11.23</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专用燃料费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其他资本性支出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30306</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救济费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劳务费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21.50</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30307</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医疗费补助</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27.75</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委托业务费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赠与</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30308</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助学金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工会经费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32.17</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国家赔偿费用支出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奖励金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150.27</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福利费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16.97</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对民间非营利组织和群众性自治组织补贴</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30310</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个人农业生产补贴</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公务用车运行维护费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42.50</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30399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其他对个人和家庭的补助支出</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0.71</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其他交通费用</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85.86</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30240</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税金及附加费用</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30299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其他商品和服务支出</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16.77</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jc w:val="center"/>
        </w:trPr>
        <w:tc>
          <w:tcPr>
            <w:tcW w:w="2155"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人员经费合计</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2864.84</w:t>
            </w:r>
          </w:p>
        </w:tc>
        <w:tc>
          <w:tcPr>
            <w:tcW w:w="5328"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公用经费合计</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注：本表反映部门本年度一般公共预算财政拨款基本支出明细情况。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8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58"/>
        <w:gridCol w:w="1527"/>
        <w:gridCol w:w="1528"/>
        <w:gridCol w:w="1530"/>
        <w:gridCol w:w="1530"/>
        <w:gridCol w:w="15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部门：廊坊市霸州市工商行政管理和食品药品监督管理局（本级）</w:t>
            </w:r>
          </w:p>
        </w:tc>
        <w:tc>
          <w:tcPr>
            <w:tcW w:w="1527"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45.54</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lang w:val="en-US" w:eastAsia="zh-CN"/>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42.50</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lang w:val="en-US" w:eastAsia="zh-CN"/>
              </w:rPr>
            </w:pP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42.50</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lang w:val="en-US" w:eastAsia="zh-CN"/>
              </w:rPr>
              <w:t>42.50</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42.50</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lang w:val="en-US" w:eastAsia="zh-CN"/>
              </w:rPr>
              <w:t>42.50</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96"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1" w:hRule="atLeast"/>
        </w:trPr>
        <w:tc>
          <w:tcPr>
            <w:tcW w:w="3177" w:type="dxa"/>
            <w:gridSpan w:val="6"/>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部门：廊坊市霸州市工商行政管理和食品药品监督管理局（本级）</w:t>
            </w:r>
          </w:p>
        </w:tc>
        <w:tc>
          <w:tcPr>
            <w:tcW w:w="840"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注：本部门本年度无相关收入（或支出、收支及结转结余等）情况，按要求空表列示 </w:t>
            </w:r>
            <w:r>
              <w:rPr>
                <w:rFonts w:hint="eastAsia" w:ascii="宋体" w:hAnsi="宋体" w:cs="宋体"/>
                <w:color w:val="000000"/>
                <w:kern w:val="0"/>
                <w:szCs w:val="21"/>
                <w:lang w:eastAsia="zh-CN"/>
              </w:rPr>
              <w:t>。</w:t>
            </w:r>
            <w:r>
              <w:rPr>
                <w:rFonts w:hint="eastAsia" w:ascii="宋体" w:hAnsi="宋体" w:cs="宋体"/>
                <w:color w:val="000000"/>
                <w:kern w:val="0"/>
                <w:szCs w:val="21"/>
              </w:rPr>
              <w:t xml:space="preserve">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442"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3357" w:type="dxa"/>
            <w:gridSpan w:val="7"/>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编制单位：廊坊市霸州市工商行政管理和食品药品监督管理局（本级）</w:t>
            </w:r>
          </w:p>
        </w:tc>
        <w:tc>
          <w:tcPr>
            <w:tcW w:w="2005"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注：</w:t>
            </w:r>
            <w:r>
              <w:rPr>
                <w:rFonts w:hint="eastAsia" w:ascii="宋体" w:hAnsi="宋体" w:cs="宋体"/>
                <w:color w:val="000000"/>
                <w:kern w:val="0"/>
                <w:szCs w:val="21"/>
              </w:rPr>
              <w:t xml:space="preserve">本部门本年度无相关收入（或支出、收支及结转结余等）情况，按要求空表列示 </w:t>
            </w:r>
            <w:r>
              <w:rPr>
                <w:rFonts w:hint="eastAsia" w:ascii="宋体" w:hAnsi="宋体" w:cs="宋体"/>
                <w:color w:val="000000"/>
                <w:kern w:val="0"/>
                <w:szCs w:val="21"/>
                <w:lang w:eastAsia="zh-CN"/>
              </w:rPr>
              <w:t>。</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政府采购情况表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6" w:hRule="atLeast"/>
        </w:trPr>
        <w:tc>
          <w:tcPr>
            <w:tcW w:w="1901"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编制单位：廊坊市霸州市工商行政管理和食品药品监督管理局（本级）</w:t>
            </w:r>
            <w:bookmarkStart w:id="0" w:name="_GoBack"/>
            <w:bookmarkEnd w:id="0"/>
          </w:p>
        </w:tc>
        <w:tc>
          <w:tcPr>
            <w:tcW w:w="2500" w:type="dxa"/>
            <w:gridSpan w:val="3"/>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采购计划金额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实际采购金额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注：本部门本年度无相关收入（或支出、收支及结转结余等）情况，按要求空表列示 </w:t>
            </w:r>
            <w:r>
              <w:rPr>
                <w:rFonts w:hint="eastAsia" w:ascii="宋体" w:hAnsi="宋体" w:cs="宋体"/>
                <w:color w:val="000000"/>
                <w:kern w:val="0"/>
                <w:szCs w:val="21"/>
                <w:lang w:eastAsia="zh-CN"/>
              </w:rPr>
              <w:t>。</w:t>
            </w:r>
            <w:r>
              <w:rPr>
                <w:rFonts w:hint="eastAsia" w:ascii="宋体" w:hAnsi="宋体" w:cs="宋体"/>
                <w:color w:val="000000"/>
                <w:kern w:val="0"/>
                <w:szCs w:val="21"/>
              </w:rPr>
              <w:t xml:space="preserve">   </w:t>
            </w:r>
          </w:p>
        </w:tc>
      </w:tr>
    </w:tbl>
    <w:p>
      <w:pPr>
        <w:widowControl/>
        <w:spacing w:after="0" w:line="560" w:lineRule="exact"/>
        <w:jc w:val="left"/>
        <w:rPr>
          <w:rFonts w:ascii="仿宋_GB2312" w:hAnsi="宋体" w:eastAsia="仿宋_GB2312"/>
          <w:b/>
          <w:sz w:val="28"/>
          <w:szCs w:val="28"/>
          <w:highlight w:val="yellow"/>
        </w:rPr>
      </w:pPr>
    </w:p>
    <w:p/>
    <w:p/>
    <w:p/>
    <w:p/>
    <w:p>
      <w:pPr>
        <w:tabs>
          <w:tab w:val="left" w:pos="1086"/>
        </w:tabs>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r>
        <w:rPr>
          <w:rFonts w:hint="eastAsia"/>
        </w:rPr>
        <w:tab/>
      </w: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olor w:val="000000"/>
          <w:sz w:val="96"/>
          <w:szCs w:val="96"/>
        </w:rPr>
        <w:t>第三部分</w:t>
      </w:r>
    </w:p>
    <w:p>
      <w:pPr>
        <w:widowControl/>
        <w:spacing w:line="1200" w:lineRule="exact"/>
        <w:jc w:val="center"/>
        <w:rPr>
          <w:color w:val="000000"/>
          <w:sz w:val="96"/>
          <w:szCs w:val="96"/>
        </w:rPr>
      </w:pPr>
      <w:r>
        <w:rPr>
          <w:rFonts w:hint="eastAsia" w:ascii="黑体" w:hAnsi="宋体" w:eastAsia="黑体"/>
          <w:color w:val="000000"/>
          <w:sz w:val="96"/>
          <w:szCs w:val="96"/>
        </w:rPr>
        <w:t>部门决算情况说明</w:t>
      </w:r>
    </w:p>
    <w:p>
      <w:pPr>
        <w:rPr>
          <w:rFonts w:ascii="宋体" w:hAnsi="宋体" w:cs="ArialUnicodeMS"/>
          <w:color w:val="000000"/>
          <w:kern w:val="0"/>
        </w:rPr>
        <w:sectPr>
          <w:pgSz w:w="11906" w:h="16838"/>
          <w:pgMar w:top="2098" w:right="1474" w:bottom="1984" w:left="1588" w:header="851" w:footer="992" w:gutter="0"/>
          <w:cols w:space="72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hAnsi="Cambria" w:eastAsia="黑体" w:cs="黑体"/>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本部门2018年度收支总计（含结转和结余）</w:t>
      </w:r>
      <w:r>
        <w:rPr>
          <w:rFonts w:hint="eastAsia" w:ascii="仿宋_GB2312" w:eastAsia="仿宋_GB2312" w:cs="DengXian-Regular"/>
          <w:sz w:val="32"/>
          <w:szCs w:val="32"/>
          <w:lang w:val="en-US" w:eastAsia="zh-CN"/>
        </w:rPr>
        <w:t>4053.39</w:t>
      </w:r>
      <w:r>
        <w:rPr>
          <w:rFonts w:hint="eastAsia" w:ascii="仿宋_GB2312" w:eastAsia="仿宋_GB2312" w:cs="DengXian-Regular"/>
          <w:sz w:val="32"/>
          <w:szCs w:val="32"/>
        </w:rPr>
        <w:t>万元。与2017年度决算相比，收支各减少</w:t>
      </w:r>
      <w:r>
        <w:rPr>
          <w:rFonts w:hint="eastAsia" w:ascii="仿宋_GB2312" w:eastAsia="仿宋_GB2312" w:cs="DengXian-Regular"/>
          <w:sz w:val="32"/>
          <w:szCs w:val="32"/>
          <w:lang w:val="en-US" w:eastAsia="zh-CN"/>
        </w:rPr>
        <w:t>71.56</w:t>
      </w:r>
      <w:r>
        <w:rPr>
          <w:rFonts w:hint="eastAsia" w:ascii="仿宋_GB2312" w:eastAsia="仿宋_GB2312" w:cs="DengXian-Regular"/>
          <w:sz w:val="32"/>
          <w:szCs w:val="32"/>
        </w:rPr>
        <w:t>万元，下降</w:t>
      </w:r>
      <w:r>
        <w:rPr>
          <w:rFonts w:hint="eastAsia" w:ascii="仿宋_GB2312" w:eastAsia="仿宋_GB2312" w:cs="DengXian-Regular"/>
          <w:sz w:val="32"/>
          <w:szCs w:val="32"/>
          <w:lang w:val="en-US" w:eastAsia="zh-CN"/>
        </w:rPr>
        <w:t>0.2</w:t>
      </w:r>
      <w:r>
        <w:rPr>
          <w:rFonts w:hint="eastAsia" w:ascii="仿宋_GB2312" w:eastAsia="仿宋_GB2312" w:cs="DengXian-Regular"/>
          <w:sz w:val="32"/>
          <w:szCs w:val="32"/>
        </w:rPr>
        <w:t>%，主要是</w:t>
      </w:r>
      <w:r>
        <w:rPr>
          <w:rFonts w:hint="eastAsia" w:ascii="宋体" w:hAnsi="宋体" w:cs="宋体"/>
          <w:sz w:val="32"/>
          <w:szCs w:val="32"/>
          <w:lang w:val="en-US" w:eastAsia="zh-CN"/>
        </w:rPr>
        <w:t>人员经费减少</w:t>
      </w:r>
      <w:r>
        <w:rPr>
          <w:rFonts w:hint="eastAsia" w:ascii="仿宋_GB2312" w:eastAsia="仿宋_GB2312" w:cs="DengXian-Regular"/>
          <w:sz w:val="32"/>
          <w:szCs w:val="32"/>
        </w:rPr>
        <w:t>。</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本部门2018年度本年收入合计</w:t>
      </w:r>
      <w:r>
        <w:rPr>
          <w:rFonts w:hint="eastAsia" w:ascii="仿宋_GB2312" w:eastAsia="仿宋_GB2312" w:cs="DengXian-Regular"/>
          <w:sz w:val="32"/>
          <w:szCs w:val="32"/>
          <w:lang w:val="en-US" w:eastAsia="zh-CN"/>
        </w:rPr>
        <w:t>4053.39</w:t>
      </w:r>
      <w:r>
        <w:rPr>
          <w:rFonts w:hint="eastAsia" w:ascii="仿宋_GB2312" w:eastAsia="仿宋_GB2312" w:cs="DengXian-Regular"/>
          <w:sz w:val="32"/>
          <w:szCs w:val="32"/>
        </w:rPr>
        <w:t>万元，其中：财政拨款收入</w:t>
      </w:r>
      <w:r>
        <w:rPr>
          <w:rFonts w:hint="eastAsia" w:ascii="仿宋_GB2312" w:eastAsia="仿宋_GB2312" w:cs="DengXian-Regular"/>
          <w:sz w:val="32"/>
          <w:szCs w:val="32"/>
          <w:lang w:val="en-US" w:eastAsia="zh-CN"/>
        </w:rPr>
        <w:t>4016.05</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99</w:t>
      </w:r>
      <w:r>
        <w:rPr>
          <w:rFonts w:hint="eastAsia" w:ascii="仿宋_GB2312" w:eastAsia="仿宋_GB2312" w:cs="DengXian-Regular"/>
          <w:sz w:val="32"/>
          <w:szCs w:val="32"/>
        </w:rPr>
        <w:t>%；事业收入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%；经营收入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%；其他收入</w:t>
      </w:r>
      <w:r>
        <w:rPr>
          <w:rFonts w:hint="eastAsia" w:ascii="仿宋_GB2312" w:eastAsia="仿宋_GB2312" w:cs="DengXian-Regular"/>
          <w:sz w:val="32"/>
          <w:szCs w:val="32"/>
          <w:lang w:val="en-US" w:eastAsia="zh-CN"/>
        </w:rPr>
        <w:t>0.003863</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%。如</w:t>
      </w:r>
      <w:r>
        <w:rPr>
          <w:rFonts w:hint="eastAsia" w:ascii="仿宋_GB2312" w:eastAsia="仿宋_GB2312" w:cs="DengXian-Regular"/>
          <w:sz w:val="32"/>
          <w:szCs w:val="32"/>
          <w:lang w:eastAsia="zh-CN"/>
        </w:rPr>
        <w:t>表</w:t>
      </w:r>
      <w:r>
        <w:rPr>
          <w:rFonts w:hint="eastAsia" w:ascii="仿宋_GB2312" w:eastAsia="仿宋_GB2312" w:cs="DengXian-Regular"/>
          <w:sz w:val="32"/>
          <w:szCs w:val="32"/>
        </w:rPr>
        <w:t>所示：</w:t>
      </w:r>
    </w:p>
    <w:tbl>
      <w:tblPr>
        <w:tblStyle w:val="12"/>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267"/>
        <w:gridCol w:w="1731"/>
        <w:gridCol w:w="1560"/>
        <w:gridCol w:w="1560"/>
        <w:gridCol w:w="1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8874" w:type="dxa"/>
            <w:gridSpan w:val="5"/>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表1：收入决算结构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w:t>
            </w:r>
          </w:p>
        </w:tc>
        <w:tc>
          <w:tcPr>
            <w:tcW w:w="1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财政拨款收入</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事业收入</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经营收入</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金额（万元）</w:t>
            </w:r>
          </w:p>
        </w:tc>
        <w:tc>
          <w:tcPr>
            <w:tcW w:w="1731"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4016.05</w:t>
            </w: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w:t>
            </w: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w:t>
            </w:r>
          </w:p>
        </w:tc>
        <w:tc>
          <w:tcPr>
            <w:tcW w:w="1756"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0.003863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占比（%）</w:t>
            </w:r>
          </w:p>
        </w:tc>
        <w:tc>
          <w:tcPr>
            <w:tcW w:w="1731"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99%</w:t>
            </w: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w:t>
            </w: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w:t>
            </w:r>
          </w:p>
        </w:tc>
        <w:tc>
          <w:tcPr>
            <w:tcW w:w="1756"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r>
    </w:tbl>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本部门2018年度本年支出合计</w:t>
      </w:r>
      <w:r>
        <w:rPr>
          <w:rFonts w:hint="eastAsia" w:ascii="仿宋_GB2312" w:eastAsia="仿宋_GB2312" w:cs="DengXian-Regular"/>
          <w:sz w:val="32"/>
          <w:szCs w:val="32"/>
          <w:lang w:val="en-US" w:eastAsia="zh-CN"/>
        </w:rPr>
        <w:t>4044.26</w:t>
      </w:r>
      <w:r>
        <w:rPr>
          <w:rFonts w:hint="eastAsia" w:ascii="仿宋_GB2312" w:eastAsia="仿宋_GB2312" w:cs="DengXian-Regular"/>
          <w:sz w:val="32"/>
          <w:szCs w:val="32"/>
        </w:rPr>
        <w:t>万元，其中：基本支出</w:t>
      </w:r>
      <w:r>
        <w:rPr>
          <w:rFonts w:hint="eastAsia" w:ascii="仿宋_GB2312" w:eastAsia="仿宋_GB2312" w:cs="DengXian-Regular"/>
          <w:sz w:val="32"/>
          <w:szCs w:val="32"/>
          <w:lang w:val="en-US" w:eastAsia="zh-CN"/>
        </w:rPr>
        <w:t>3536.31</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87</w:t>
      </w:r>
      <w:r>
        <w:rPr>
          <w:rFonts w:hint="eastAsia" w:ascii="仿宋_GB2312" w:eastAsia="仿宋_GB2312" w:cs="DengXian-Regular"/>
          <w:sz w:val="32"/>
          <w:szCs w:val="32"/>
        </w:rPr>
        <w:t>%；项目支出</w:t>
      </w:r>
      <w:r>
        <w:rPr>
          <w:rFonts w:hint="eastAsia" w:ascii="仿宋_GB2312" w:eastAsia="仿宋_GB2312" w:cs="DengXian-Regular"/>
          <w:sz w:val="32"/>
          <w:szCs w:val="32"/>
          <w:lang w:val="en-US" w:eastAsia="zh-CN"/>
        </w:rPr>
        <w:t>507.95</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13</w:t>
      </w:r>
      <w:r>
        <w:rPr>
          <w:rFonts w:hint="eastAsia" w:ascii="仿宋_GB2312" w:eastAsia="仿宋_GB2312" w:cs="DengXian-Regular"/>
          <w:sz w:val="32"/>
          <w:szCs w:val="32"/>
        </w:rPr>
        <w:t>%；经营支出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%。如</w:t>
      </w:r>
      <w:r>
        <w:rPr>
          <w:rFonts w:hint="eastAsia" w:ascii="仿宋_GB2312" w:eastAsia="仿宋_GB2312" w:cs="DengXian-Regular"/>
          <w:sz w:val="32"/>
          <w:szCs w:val="32"/>
          <w:lang w:eastAsia="zh-CN"/>
        </w:rPr>
        <w:t>表</w:t>
      </w:r>
      <w:r>
        <w:rPr>
          <w:rFonts w:hint="eastAsia" w:ascii="仿宋_GB2312" w:eastAsia="仿宋_GB2312" w:cs="DengXian-Regular"/>
          <w:sz w:val="32"/>
          <w:szCs w:val="32"/>
        </w:rPr>
        <w:t>所示：</w:t>
      </w:r>
    </w:p>
    <w:p>
      <w:pPr>
        <w:adjustRightInd w:val="0"/>
        <w:snapToGrid w:val="0"/>
        <w:spacing w:after="0" w:line="580" w:lineRule="exact"/>
        <w:ind w:firstLine="640" w:firstLineChars="200"/>
        <w:rPr>
          <w:rFonts w:hint="eastAsia" w:ascii="仿宋_GB2312" w:eastAsia="仿宋_GB2312" w:cs="DengXian-Regular"/>
          <w:sz w:val="32"/>
          <w:szCs w:val="32"/>
        </w:rPr>
      </w:pPr>
    </w:p>
    <w:tbl>
      <w:tblPr>
        <w:tblStyle w:val="12"/>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493"/>
        <w:gridCol w:w="2300"/>
        <w:gridCol w:w="2070"/>
        <w:gridCol w:w="20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8874" w:type="dxa"/>
            <w:gridSpan w:val="4"/>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表2：支出决算结构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w:t>
            </w:r>
          </w:p>
        </w:tc>
        <w:tc>
          <w:tcPr>
            <w:tcW w:w="2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基本支出</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w:t>
            </w:r>
            <w:r>
              <w:rPr>
                <w:rFonts w:hint="eastAsia" w:ascii="宋体" w:hAnsi="宋体" w:cs="宋体"/>
                <w:i w:val="0"/>
                <w:color w:val="000000"/>
                <w:kern w:val="0"/>
                <w:sz w:val="20"/>
                <w:szCs w:val="20"/>
                <w:u w:val="none"/>
                <w:lang w:val="en-US" w:eastAsia="zh-CN"/>
              </w:rPr>
              <w:t>支出</w:t>
            </w:r>
          </w:p>
        </w:tc>
        <w:tc>
          <w:tcPr>
            <w:tcW w:w="20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经营支出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金额（万元）</w:t>
            </w:r>
          </w:p>
        </w:tc>
        <w:tc>
          <w:tcPr>
            <w:tcW w:w="230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3536.31</w:t>
            </w:r>
          </w:p>
        </w:tc>
        <w:tc>
          <w:tcPr>
            <w:tcW w:w="207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507.95</w:t>
            </w:r>
          </w:p>
        </w:tc>
        <w:tc>
          <w:tcPr>
            <w:tcW w:w="201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占比（%）</w:t>
            </w:r>
          </w:p>
        </w:tc>
        <w:tc>
          <w:tcPr>
            <w:tcW w:w="230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87%</w:t>
            </w:r>
          </w:p>
        </w:tc>
        <w:tc>
          <w:tcPr>
            <w:tcW w:w="207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13%</w:t>
            </w:r>
          </w:p>
        </w:tc>
        <w:tc>
          <w:tcPr>
            <w:tcW w:w="2011"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i w:val="0"/>
                <w:color w:val="000000"/>
                <w:sz w:val="24"/>
                <w:szCs w:val="24"/>
                <w:u w:val="none"/>
                <w:lang w:val="en-US" w:eastAsia="zh-CN"/>
              </w:rPr>
            </w:pPr>
          </w:p>
        </w:tc>
      </w:tr>
    </w:tbl>
    <w:p>
      <w:pPr>
        <w:adjustRightInd w:val="0"/>
        <w:snapToGrid w:val="0"/>
        <w:spacing w:after="0" w:line="580" w:lineRule="exact"/>
        <w:ind w:firstLine="640" w:firstLineChars="200"/>
        <w:rPr>
          <w:rFonts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hAnsi="Cambria"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本部门2018年度形成的财政拨款收支均为一般公共预算财政拨款，其中一般公共预算财政拨款本年收入</w:t>
      </w:r>
      <w:r>
        <w:rPr>
          <w:rFonts w:hint="eastAsia" w:ascii="仿宋_GB2312" w:eastAsia="仿宋_GB2312" w:cs="DengXian-Regular"/>
          <w:sz w:val="32"/>
          <w:szCs w:val="32"/>
          <w:lang w:val="en-US" w:eastAsia="zh-CN"/>
        </w:rPr>
        <w:t>4016.05</w:t>
      </w:r>
      <w:r>
        <w:rPr>
          <w:rFonts w:hint="eastAsia" w:ascii="仿宋_GB2312" w:eastAsia="仿宋_GB2312" w:cs="DengXian-Regular"/>
          <w:sz w:val="32"/>
          <w:szCs w:val="32"/>
        </w:rPr>
        <w:t>万元,比2017年度减少</w:t>
      </w:r>
      <w:r>
        <w:rPr>
          <w:rFonts w:hint="eastAsia" w:ascii="仿宋_GB2312" w:eastAsia="仿宋_GB2312" w:cs="DengXian-Regular"/>
          <w:sz w:val="32"/>
          <w:szCs w:val="32"/>
          <w:lang w:val="en-US" w:eastAsia="zh-CN"/>
        </w:rPr>
        <w:t>108.9</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2.6</w:t>
      </w:r>
      <w:r>
        <w:rPr>
          <w:rFonts w:hint="eastAsia" w:ascii="仿宋_GB2312" w:eastAsia="仿宋_GB2312" w:cs="DengXian-Regular"/>
          <w:sz w:val="32"/>
          <w:szCs w:val="32"/>
        </w:rPr>
        <w:t>%，主要是</w:t>
      </w:r>
      <w:r>
        <w:rPr>
          <w:rFonts w:hint="eastAsia" w:ascii="宋体" w:hAnsi="宋体" w:cs="宋体"/>
          <w:sz w:val="32"/>
          <w:szCs w:val="32"/>
          <w:lang w:val="en-US" w:eastAsia="zh-CN"/>
        </w:rPr>
        <w:t>人员经费减少</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4044.25</w:t>
      </w:r>
      <w:r>
        <w:rPr>
          <w:rFonts w:hint="eastAsia" w:ascii="仿宋_GB2312" w:eastAsia="仿宋_GB2312" w:cs="DengXian-Regular"/>
          <w:sz w:val="32"/>
          <w:szCs w:val="32"/>
        </w:rPr>
        <w:t>万元，减少</w:t>
      </w:r>
      <w:r>
        <w:rPr>
          <w:rFonts w:hint="eastAsia" w:ascii="仿宋_GB2312" w:eastAsia="仿宋_GB2312" w:cs="DengXian-Regular"/>
          <w:sz w:val="32"/>
          <w:szCs w:val="32"/>
          <w:lang w:val="en-US" w:eastAsia="zh-CN"/>
        </w:rPr>
        <w:t>450.87</w:t>
      </w:r>
      <w:r>
        <w:rPr>
          <w:rFonts w:hint="eastAsia" w:ascii="仿宋_GB2312" w:eastAsia="仿宋_GB2312" w:cs="DengXian-Regular"/>
          <w:sz w:val="32"/>
          <w:szCs w:val="32"/>
        </w:rPr>
        <w:t>万元，增长（降低）</w:t>
      </w:r>
      <w:r>
        <w:rPr>
          <w:rFonts w:hint="eastAsia" w:ascii="仿宋_GB2312" w:eastAsia="仿宋_GB2312" w:cs="DengXian-Regular"/>
          <w:sz w:val="32"/>
          <w:szCs w:val="32"/>
          <w:lang w:val="en-US" w:eastAsia="zh-CN"/>
        </w:rPr>
        <w:t>11</w:t>
      </w:r>
      <w:r>
        <w:rPr>
          <w:rFonts w:hint="eastAsia" w:ascii="仿宋_GB2312" w:eastAsia="仿宋_GB2312" w:cs="DengXian-Regular"/>
          <w:sz w:val="32"/>
          <w:szCs w:val="32"/>
        </w:rPr>
        <w:t>%，主要是</w:t>
      </w:r>
      <w:r>
        <w:rPr>
          <w:rFonts w:hint="eastAsia" w:ascii="宋体" w:hAnsi="宋体" w:cs="宋体"/>
          <w:sz w:val="32"/>
          <w:szCs w:val="32"/>
          <w:lang w:val="en-US" w:eastAsia="zh-CN"/>
        </w:rPr>
        <w:t>人员经费减少</w:t>
      </w:r>
      <w:r>
        <w:rPr>
          <w:rFonts w:hint="eastAsia" w:ascii="仿宋_GB2312" w:eastAsia="仿宋_GB2312" w:cs="DengXian-Regular"/>
          <w:sz w:val="32"/>
          <w:szCs w:val="32"/>
        </w:rPr>
        <w:t>。</w:t>
      </w:r>
    </w:p>
    <w:tbl>
      <w:tblPr>
        <w:tblStyle w:val="12"/>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860"/>
        <w:gridCol w:w="1037"/>
        <w:gridCol w:w="1038"/>
        <w:gridCol w:w="1039"/>
        <w:gridCol w:w="1038"/>
        <w:gridCol w:w="1039"/>
        <w:gridCol w:w="18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874" w:type="dxa"/>
            <w:gridSpan w:val="7"/>
            <w:vAlign w:val="center"/>
          </w:tcPr>
          <w:p>
            <w:pPr>
              <w:widowControl/>
              <w:jc w:val="center"/>
              <w:textAlignment w:val="center"/>
              <w:rPr>
                <w:rFonts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rPr>
              <w:t>表3：2017-2018年财政拨款收支情况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4" w:hRule="atLeast"/>
        </w:trPr>
        <w:tc>
          <w:tcPr>
            <w:tcW w:w="18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w:t>
            </w:r>
          </w:p>
        </w:tc>
        <w:tc>
          <w:tcPr>
            <w:tcW w:w="311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财政拨款收入</w:t>
            </w:r>
          </w:p>
        </w:tc>
        <w:tc>
          <w:tcPr>
            <w:tcW w:w="39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2" w:hRule="atLeast"/>
        </w:trPr>
        <w:tc>
          <w:tcPr>
            <w:tcW w:w="18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0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小计</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一般公共预算财政拨款收入</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政府性基金预算财政拨款收入</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小计</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一般公共预算财政拨款支出</w:t>
            </w:r>
          </w:p>
        </w:tc>
        <w:tc>
          <w:tcPr>
            <w:tcW w:w="1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2017年（万元）</w:t>
            </w:r>
          </w:p>
        </w:tc>
        <w:tc>
          <w:tcPr>
            <w:tcW w:w="1037"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4124.95</w:t>
            </w: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4124.95</w:t>
            </w:r>
          </w:p>
        </w:tc>
        <w:tc>
          <w:tcPr>
            <w:tcW w:w="103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lang w:val="en-US" w:eastAsia="zh-CN"/>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4532.46</w:t>
            </w:r>
          </w:p>
        </w:tc>
        <w:tc>
          <w:tcPr>
            <w:tcW w:w="103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4532.46</w:t>
            </w:r>
          </w:p>
        </w:tc>
        <w:tc>
          <w:tcPr>
            <w:tcW w:w="182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2018年（万元）</w:t>
            </w:r>
          </w:p>
        </w:tc>
        <w:tc>
          <w:tcPr>
            <w:tcW w:w="1037"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4016.05</w:t>
            </w: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4016.05</w:t>
            </w:r>
          </w:p>
        </w:tc>
        <w:tc>
          <w:tcPr>
            <w:tcW w:w="103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lang w:val="en-US" w:eastAsia="zh-CN"/>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4044.25</w:t>
            </w:r>
          </w:p>
        </w:tc>
        <w:tc>
          <w:tcPr>
            <w:tcW w:w="103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4044.25</w:t>
            </w:r>
          </w:p>
        </w:tc>
        <w:tc>
          <w:tcPr>
            <w:tcW w:w="182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增长比率（%）</w:t>
            </w:r>
          </w:p>
        </w:tc>
        <w:tc>
          <w:tcPr>
            <w:tcW w:w="1037"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-2.6%</w:t>
            </w: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-2.6%</w:t>
            </w:r>
          </w:p>
        </w:tc>
        <w:tc>
          <w:tcPr>
            <w:tcW w:w="103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-11%</w:t>
            </w:r>
          </w:p>
        </w:tc>
        <w:tc>
          <w:tcPr>
            <w:tcW w:w="103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-11%</w:t>
            </w:r>
          </w:p>
        </w:tc>
        <w:tc>
          <w:tcPr>
            <w:tcW w:w="182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bl>
    <w:p>
      <w:pPr>
        <w:spacing w:after="0" w:line="580" w:lineRule="exact"/>
        <w:ind w:firstLine="643" w:firstLineChars="200"/>
        <w:rPr>
          <w:rFonts w:hint="eastAsia" w:ascii="楷体_GB2312" w:eastAsia="楷体_GB2312" w:cs="DengXian-Bold"/>
          <w:b/>
          <w:bCs/>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本部门2018年度一般公共预算财政拨款收入</w:t>
      </w:r>
      <w:r>
        <w:rPr>
          <w:rFonts w:hint="eastAsia" w:ascii="仿宋_GB2312" w:eastAsia="仿宋_GB2312" w:cs="DengXian-Regular"/>
          <w:sz w:val="32"/>
          <w:szCs w:val="32"/>
          <w:lang w:val="en-US" w:eastAsia="zh-CN"/>
        </w:rPr>
        <w:t>4016.05</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85</w:t>
      </w:r>
      <w:r>
        <w:rPr>
          <w:rFonts w:hint="eastAsia" w:ascii="仿宋_GB2312" w:eastAsia="仿宋_GB2312" w:cs="DengXian-Regular"/>
          <w:sz w:val="32"/>
          <w:szCs w:val="32"/>
        </w:rPr>
        <w:t>%,比年初预算减少</w:t>
      </w:r>
      <w:r>
        <w:rPr>
          <w:rFonts w:hint="eastAsia" w:ascii="仿宋_GB2312" w:eastAsia="仿宋_GB2312" w:cs="DengXian-Regular"/>
          <w:sz w:val="32"/>
          <w:szCs w:val="32"/>
          <w:lang w:val="en-US" w:eastAsia="zh-CN"/>
        </w:rPr>
        <w:t>702.59</w:t>
      </w:r>
      <w:r>
        <w:rPr>
          <w:rFonts w:hint="eastAsia" w:ascii="仿宋_GB2312" w:eastAsia="仿宋_GB2312" w:cs="DengXian-Regular"/>
          <w:sz w:val="32"/>
          <w:szCs w:val="32"/>
        </w:rPr>
        <w:t>万元，决算数小于预算数主要是</w:t>
      </w:r>
      <w:r>
        <w:rPr>
          <w:rFonts w:hint="eastAsia" w:ascii="宋体" w:hAnsi="宋体" w:cs="宋体"/>
          <w:sz w:val="32"/>
          <w:szCs w:val="32"/>
          <w:lang w:val="en-US" w:eastAsia="zh-CN"/>
        </w:rPr>
        <w:t>人员经费减少</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4044.25</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96</w:t>
      </w:r>
      <w:r>
        <w:rPr>
          <w:rFonts w:hint="eastAsia" w:ascii="仿宋_GB2312" w:eastAsia="仿宋_GB2312" w:cs="DengXian-Regular"/>
          <w:sz w:val="32"/>
          <w:szCs w:val="32"/>
        </w:rPr>
        <w:t>%,比年初预算减少</w:t>
      </w:r>
      <w:r>
        <w:rPr>
          <w:rFonts w:hint="eastAsia" w:ascii="仿宋_GB2312" w:eastAsia="仿宋_GB2312" w:cs="DengXian-Regular"/>
          <w:sz w:val="32"/>
          <w:szCs w:val="32"/>
          <w:lang w:val="en-US" w:eastAsia="zh-CN"/>
        </w:rPr>
        <w:t>170.64</w:t>
      </w:r>
      <w:r>
        <w:rPr>
          <w:rFonts w:hint="eastAsia" w:ascii="仿宋_GB2312" w:eastAsia="仿宋_GB2312" w:cs="DengXian-Regular"/>
          <w:sz w:val="32"/>
          <w:szCs w:val="32"/>
        </w:rPr>
        <w:t>万元，决算数小于预算数主要是</w:t>
      </w:r>
      <w:r>
        <w:rPr>
          <w:rFonts w:hint="eastAsia" w:ascii="宋体" w:hAnsi="宋体" w:cs="宋体"/>
          <w:sz w:val="32"/>
          <w:szCs w:val="32"/>
          <w:lang w:val="en-US" w:eastAsia="zh-CN"/>
        </w:rPr>
        <w:t>人员经费减少</w:t>
      </w:r>
      <w:r>
        <w:rPr>
          <w:rFonts w:hint="eastAsia" w:ascii="仿宋_GB2312" w:eastAsia="仿宋_GB2312" w:cs="DengXian-Regular"/>
          <w:sz w:val="32"/>
          <w:szCs w:val="32"/>
        </w:rPr>
        <w:t>。</w:t>
      </w:r>
    </w:p>
    <w:tbl>
      <w:tblPr>
        <w:tblStyle w:val="12"/>
        <w:tblW w:w="90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855"/>
        <w:gridCol w:w="1523"/>
        <w:gridCol w:w="1003"/>
        <w:gridCol w:w="1522"/>
        <w:gridCol w:w="1003"/>
        <w:gridCol w:w="1003"/>
        <w:gridCol w:w="11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9045" w:type="dxa"/>
            <w:gridSpan w:val="7"/>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表4：财政拨款收支预决算对比情况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8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w:t>
            </w:r>
          </w:p>
        </w:tc>
        <w:tc>
          <w:tcPr>
            <w:tcW w:w="404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财政拨款收入</w:t>
            </w:r>
          </w:p>
        </w:tc>
        <w:tc>
          <w:tcPr>
            <w:tcW w:w="314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1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5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小计</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一般公共预算财政拨款收入</w:t>
            </w:r>
          </w:p>
        </w:tc>
        <w:tc>
          <w:tcPr>
            <w:tcW w:w="15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政府性基金预算财政拨款收入</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小计</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一般公共预算财政拨款支出</w:t>
            </w:r>
          </w:p>
        </w:tc>
        <w:tc>
          <w:tcPr>
            <w:tcW w:w="11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年初预算数（万元）</w:t>
            </w:r>
          </w:p>
        </w:tc>
        <w:tc>
          <w:tcPr>
            <w:tcW w:w="152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4718.64</w:t>
            </w:r>
          </w:p>
        </w:tc>
        <w:tc>
          <w:tcPr>
            <w:tcW w:w="100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4718.64</w:t>
            </w:r>
          </w:p>
        </w:tc>
        <w:tc>
          <w:tcPr>
            <w:tcW w:w="152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0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i w:val="0"/>
                <w:color w:val="000000"/>
                <w:sz w:val="24"/>
                <w:szCs w:val="24"/>
                <w:u w:val="none"/>
                <w:lang w:val="en-US"/>
              </w:rPr>
            </w:pPr>
            <w:r>
              <w:rPr>
                <w:rFonts w:hint="eastAsia" w:ascii="宋体" w:hAnsi="宋体" w:cs="宋体"/>
                <w:i w:val="0"/>
                <w:color w:val="000000"/>
                <w:sz w:val="24"/>
                <w:szCs w:val="24"/>
                <w:u w:val="none"/>
                <w:lang w:val="en-US" w:eastAsia="zh-CN"/>
              </w:rPr>
              <w:t>4214.89</w:t>
            </w:r>
          </w:p>
        </w:tc>
        <w:tc>
          <w:tcPr>
            <w:tcW w:w="100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i w:val="0"/>
                <w:color w:val="000000"/>
                <w:sz w:val="24"/>
                <w:szCs w:val="24"/>
                <w:u w:val="none"/>
                <w:lang w:val="en-US"/>
              </w:rPr>
            </w:pPr>
            <w:r>
              <w:rPr>
                <w:rFonts w:hint="eastAsia" w:ascii="宋体" w:hAnsi="宋体" w:cs="宋体"/>
                <w:i w:val="0"/>
                <w:color w:val="000000"/>
                <w:sz w:val="24"/>
                <w:szCs w:val="24"/>
                <w:u w:val="none"/>
                <w:lang w:val="en-US" w:eastAsia="zh-CN"/>
              </w:rPr>
              <w:t>4214.89</w:t>
            </w:r>
          </w:p>
        </w:tc>
        <w:tc>
          <w:tcPr>
            <w:tcW w:w="113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决算数（万元）</w:t>
            </w:r>
          </w:p>
        </w:tc>
        <w:tc>
          <w:tcPr>
            <w:tcW w:w="152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4016.05</w:t>
            </w:r>
          </w:p>
        </w:tc>
        <w:tc>
          <w:tcPr>
            <w:tcW w:w="100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4016.05</w:t>
            </w:r>
          </w:p>
        </w:tc>
        <w:tc>
          <w:tcPr>
            <w:tcW w:w="152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0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4044.25</w:t>
            </w:r>
          </w:p>
        </w:tc>
        <w:tc>
          <w:tcPr>
            <w:tcW w:w="100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4044.25</w:t>
            </w:r>
          </w:p>
        </w:tc>
        <w:tc>
          <w:tcPr>
            <w:tcW w:w="113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bl>
    <w:p>
      <w:pPr>
        <w:adjustRightInd w:val="0"/>
        <w:snapToGrid w:val="0"/>
        <w:spacing w:after="0" w:line="580" w:lineRule="exact"/>
        <w:ind w:firstLine="640" w:firstLineChars="200"/>
        <w:rPr>
          <w:rFonts w:hint="eastAsia" w:ascii="仿宋_GB2312" w:eastAsia="仿宋_GB2312" w:cs="DengXian-Regular"/>
          <w:sz w:val="32"/>
          <w:szCs w:val="32"/>
          <w:highlight w:val="yellow"/>
        </w:rPr>
      </w:pPr>
    </w:p>
    <w:p>
      <w:pPr>
        <w:numPr>
          <w:ilvl w:val="0"/>
          <w:numId w:val="2"/>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2018 年度财政拨款支出</w:t>
      </w:r>
      <w:r>
        <w:rPr>
          <w:rFonts w:hint="eastAsia" w:ascii="仿宋_GB2312" w:eastAsia="仿宋_GB2312" w:cs="DengXian-Regular"/>
          <w:sz w:val="32"/>
          <w:szCs w:val="32"/>
          <w:lang w:val="en-US" w:eastAsia="zh-CN"/>
        </w:rPr>
        <w:t>4044.25</w:t>
      </w:r>
      <w:r>
        <w:rPr>
          <w:rFonts w:hint="eastAsia" w:ascii="仿宋_GB2312" w:eastAsia="仿宋_GB2312" w:cs="DengXian-Regular"/>
          <w:sz w:val="32"/>
          <w:szCs w:val="32"/>
        </w:rPr>
        <w:t>万元，主要用于以下方面一般公共服务（类）支出</w:t>
      </w:r>
      <w:r>
        <w:rPr>
          <w:rFonts w:hint="eastAsia" w:ascii="仿宋_GB2312" w:eastAsia="仿宋_GB2312" w:cs="DengXian-Regular"/>
          <w:sz w:val="32"/>
          <w:szCs w:val="32"/>
          <w:lang w:val="en-US" w:eastAsia="zh-CN"/>
        </w:rPr>
        <w:t>340.57</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8</w:t>
      </w:r>
      <w:r>
        <w:rPr>
          <w:rFonts w:hint="eastAsia" w:ascii="仿宋_GB2312" w:eastAsia="仿宋_GB2312" w:cs="DengXian-Regular"/>
          <w:sz w:val="32"/>
          <w:szCs w:val="32"/>
        </w:rPr>
        <w:t>%；公共安全（类）支出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%；教育（类）支出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%；科学技术（类）支出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 xml:space="preserve">万元，占 </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 xml:space="preserve">%；社会保障和就业（类）支出 </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%；住房保障（类）支出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tbl>
      <w:tblPr>
        <w:tblStyle w:val="12"/>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021"/>
        <w:gridCol w:w="1615"/>
        <w:gridCol w:w="1615"/>
        <w:gridCol w:w="1615"/>
        <w:gridCol w:w="2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8874" w:type="dxa"/>
            <w:gridSpan w:val="5"/>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表5：财政拨款支出决算结构（按功能分类）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20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一般公共服务</w:t>
            </w:r>
            <w:r>
              <w:rPr>
                <w:rFonts w:hint="eastAsia" w:ascii="宋体" w:hAnsi="宋体" w:eastAsia="宋体" w:cs="宋体"/>
                <w:i w:val="0"/>
                <w:color w:val="000000"/>
                <w:kern w:val="0"/>
                <w:sz w:val="20"/>
                <w:szCs w:val="20"/>
                <w:u w:val="none"/>
                <w:lang w:val="en-US" w:eastAsia="zh-CN"/>
              </w:rPr>
              <w:t>支出</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工商行政管理实务</w:t>
            </w:r>
            <w:r>
              <w:rPr>
                <w:rFonts w:hint="eastAsia" w:ascii="宋体" w:hAnsi="宋体" w:eastAsia="宋体" w:cs="宋体"/>
                <w:i w:val="0"/>
                <w:color w:val="000000"/>
                <w:kern w:val="0"/>
                <w:sz w:val="20"/>
                <w:szCs w:val="20"/>
                <w:u w:val="none"/>
                <w:lang w:val="en-US" w:eastAsia="zh-CN"/>
              </w:rPr>
              <w:t>支出</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医疗卫生与计划生育支出支出</w:t>
            </w:r>
          </w:p>
        </w:tc>
        <w:tc>
          <w:tcPr>
            <w:tcW w:w="20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w:t>
            </w:r>
            <w:r>
              <w:rPr>
                <w:rFonts w:hint="eastAsia" w:ascii="宋体" w:hAnsi="宋体" w:eastAsia="宋体" w:cs="宋体"/>
                <w:i w:val="0"/>
                <w:color w:val="000000"/>
                <w:kern w:val="0"/>
                <w:sz w:val="20"/>
                <w:szCs w:val="20"/>
                <w:u w:val="none"/>
                <w:lang w:val="en-US"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金额（万元）</w:t>
            </w:r>
          </w:p>
        </w:tc>
        <w:tc>
          <w:tcPr>
            <w:tcW w:w="1615"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340.57</w:t>
            </w:r>
          </w:p>
        </w:tc>
        <w:tc>
          <w:tcPr>
            <w:tcW w:w="1615"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340.57</w:t>
            </w:r>
          </w:p>
        </w:tc>
        <w:tc>
          <w:tcPr>
            <w:tcW w:w="1615"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3703.68</w:t>
            </w:r>
          </w:p>
        </w:tc>
        <w:tc>
          <w:tcPr>
            <w:tcW w:w="2008"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占比（%）</w:t>
            </w:r>
          </w:p>
        </w:tc>
        <w:tc>
          <w:tcPr>
            <w:tcW w:w="1615"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8%</w:t>
            </w:r>
          </w:p>
        </w:tc>
        <w:tc>
          <w:tcPr>
            <w:tcW w:w="1615"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8%</w:t>
            </w:r>
          </w:p>
        </w:tc>
        <w:tc>
          <w:tcPr>
            <w:tcW w:w="1615"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92%</w:t>
            </w:r>
          </w:p>
        </w:tc>
        <w:tc>
          <w:tcPr>
            <w:tcW w:w="20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bl>
    <w:p>
      <w:pPr>
        <w:adjustRightInd w:val="0"/>
        <w:snapToGrid w:val="0"/>
        <w:spacing w:after="0" w:line="580" w:lineRule="exact"/>
        <w:rPr>
          <w:rFonts w:hint="eastAsia" w:ascii="楷体_GB2312" w:eastAsia="仿宋_GB2312" w:cs="DengXian-Bold"/>
          <w:b/>
          <w:bCs/>
          <w:sz w:val="32"/>
          <w:szCs w:val="32"/>
          <w:lang w:eastAsia="zh-CN"/>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w:t>
      </w:r>
      <w:r>
        <w:rPr>
          <w:rFonts w:hint="eastAsia" w:ascii="仿宋_GB2312" w:eastAsia="仿宋_GB2312" w:cs="DengXian-Regular"/>
          <w:sz w:val="32"/>
          <w:szCs w:val="32"/>
          <w:lang w:val="en-US" w:eastAsia="zh-CN"/>
        </w:rPr>
        <w:t>3536.31</w:t>
      </w:r>
      <w:r>
        <w:rPr>
          <w:rFonts w:hint="eastAsia" w:ascii="仿宋_GB2312" w:eastAsia="仿宋_GB2312" w:cs="DengXian-Regular"/>
          <w:sz w:val="32"/>
          <w:szCs w:val="32"/>
        </w:rPr>
        <w:t xml:space="preserve">万元，其中：人员经费 </w:t>
      </w:r>
      <w:r>
        <w:rPr>
          <w:rFonts w:hint="eastAsia" w:ascii="仿宋_GB2312" w:eastAsia="仿宋_GB2312" w:cs="DengXian-Regular"/>
          <w:sz w:val="32"/>
          <w:szCs w:val="32"/>
          <w:lang w:val="en-US" w:eastAsia="zh-CN"/>
        </w:rPr>
        <w:t>3114.63</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hint="eastAsia" w:ascii="仿宋_GB2312" w:eastAsia="仿宋_GB2312" w:cs="DengXian-Regular"/>
          <w:sz w:val="32"/>
          <w:szCs w:val="32"/>
          <w:lang w:val="en-US" w:eastAsia="zh-CN"/>
        </w:rPr>
        <w:t>421.67</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年度一般公共预算财政拨款“三公”经费支出共计</w:t>
      </w:r>
      <w:r>
        <w:rPr>
          <w:rFonts w:hint="eastAsia" w:eastAsia="仿宋_GB2312"/>
          <w:sz w:val="32"/>
          <w:szCs w:val="32"/>
          <w:lang w:val="en-US" w:eastAsia="zh-CN"/>
        </w:rPr>
        <w:t>45.54</w:t>
      </w:r>
      <w:r>
        <w:rPr>
          <w:rFonts w:eastAsia="仿宋_GB2312"/>
          <w:sz w:val="32"/>
          <w:szCs w:val="32"/>
        </w:rPr>
        <w:t>万元，</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9.94</w:t>
      </w:r>
      <w:r>
        <w:rPr>
          <w:rFonts w:eastAsia="仿宋_GB2312"/>
          <w:sz w:val="32"/>
          <w:szCs w:val="32"/>
        </w:rPr>
        <w:t>万元，降低</w:t>
      </w:r>
      <w:r>
        <w:rPr>
          <w:rFonts w:hint="eastAsia" w:eastAsia="仿宋_GB2312"/>
          <w:sz w:val="32"/>
          <w:szCs w:val="32"/>
          <w:lang w:val="en-US" w:eastAsia="zh-CN"/>
        </w:rPr>
        <w:t>18</w:t>
      </w:r>
      <w:r>
        <w:rPr>
          <w:rFonts w:eastAsia="仿宋_GB2312"/>
          <w:sz w:val="32"/>
          <w:szCs w:val="32"/>
        </w:rPr>
        <w:t>%，主要是公务用车购置及运行维护费；</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30.62</w:t>
      </w:r>
      <w:r>
        <w:rPr>
          <w:rFonts w:eastAsia="仿宋_GB2312"/>
          <w:sz w:val="32"/>
          <w:szCs w:val="32"/>
        </w:rPr>
        <w:t>万元，降低</w:t>
      </w:r>
      <w:r>
        <w:rPr>
          <w:rFonts w:hint="eastAsia" w:eastAsia="仿宋_GB2312"/>
          <w:sz w:val="32"/>
          <w:szCs w:val="32"/>
          <w:lang w:val="en-US" w:eastAsia="zh-CN"/>
        </w:rPr>
        <w:t>40</w:t>
      </w:r>
      <w:r>
        <w:rPr>
          <w:rFonts w:eastAsia="仿宋_GB2312"/>
          <w:sz w:val="32"/>
          <w:szCs w:val="32"/>
        </w:rPr>
        <w:t>%，主要是公务用车购置及运行维护费</w:t>
      </w:r>
      <w:r>
        <w:rPr>
          <w:rFonts w:hint="eastAsia" w:eastAsia="仿宋_GB2312"/>
          <w:sz w:val="32"/>
          <w:szCs w:val="32"/>
          <w:lang w:eastAsia="zh-CN"/>
        </w:rPr>
        <w:t>减少</w:t>
      </w:r>
      <w:r>
        <w:rPr>
          <w:rFonts w:eastAsia="仿宋_GB2312"/>
          <w:sz w:val="32"/>
          <w:szCs w:val="32"/>
        </w:rPr>
        <w:t>。具体情况如下：</w:t>
      </w:r>
    </w:p>
    <w:p>
      <w:pPr>
        <w:adjustRightInd w:val="0"/>
        <w:snapToGrid w:val="0"/>
        <w:spacing w:line="584" w:lineRule="exact"/>
        <w:ind w:firstLine="643" w:firstLineChars="200"/>
        <w:rPr>
          <w:rFonts w:hint="eastAsia" w:ascii="仿宋_GB2312" w:eastAsia="仿宋_GB2312" w:cs="DengXian-Regular"/>
          <w:sz w:val="32"/>
          <w:szCs w:val="32"/>
        </w:rPr>
      </w:pPr>
      <w:r>
        <w:rPr>
          <w:rFonts w:eastAsia="楷体_GB2312"/>
          <w:b/>
          <w:bCs/>
          <w:sz w:val="32"/>
          <w:szCs w:val="32"/>
        </w:rPr>
        <w:t>因公出国（境）费支出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人/参加其他单位组织的因公出国（境）团组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人/无本单位组织的出国（境）团组。</w:t>
      </w:r>
      <w:r>
        <w:rPr>
          <w:rFonts w:hint="eastAsia" w:ascii="宋体" w:hAnsi="宋体" w:cs="宋体"/>
          <w:sz w:val="32"/>
          <w:szCs w:val="32"/>
          <w:lang w:val="en-US" w:eastAsia="zh-CN"/>
        </w:rPr>
        <w:t>未发生</w:t>
      </w:r>
      <w:r>
        <w:rPr>
          <w:rFonts w:hint="eastAsia" w:ascii="宋体" w:hAnsi="宋体" w:cs="宋体"/>
          <w:sz w:val="32"/>
          <w:szCs w:val="32"/>
        </w:rPr>
        <w:t>因公出国（境）费支出</w:t>
      </w:r>
      <w:r>
        <w:rPr>
          <w:rFonts w:hint="eastAsia" w:ascii="宋体" w:hAnsi="宋体" w:cs="宋体"/>
          <w:sz w:val="32"/>
          <w:szCs w:val="32"/>
          <w:lang w:eastAsia="zh-CN"/>
        </w:rPr>
        <w:t>，</w:t>
      </w:r>
      <w:r>
        <w:rPr>
          <w:rFonts w:hint="eastAsia" w:ascii="宋体" w:hAnsi="宋体" w:cs="宋体"/>
          <w:sz w:val="32"/>
          <w:szCs w:val="32"/>
          <w:lang w:val="en-US" w:eastAsia="zh-CN"/>
        </w:rPr>
        <w:t>较</w:t>
      </w:r>
      <w:r>
        <w:rPr>
          <w:rFonts w:hint="eastAsia" w:ascii="宋体" w:hAnsi="宋体" w:cs="宋体"/>
          <w:sz w:val="32"/>
          <w:szCs w:val="32"/>
        </w:rPr>
        <w:t>年初预算</w:t>
      </w:r>
      <w:r>
        <w:rPr>
          <w:rFonts w:hint="eastAsia" w:ascii="宋体" w:hAnsi="宋体" w:cs="宋体"/>
          <w:sz w:val="32"/>
          <w:szCs w:val="32"/>
          <w:lang w:val="en-US" w:eastAsia="zh-CN"/>
        </w:rPr>
        <w:t>无增减变化</w:t>
      </w:r>
      <w:r>
        <w:rPr>
          <w:rFonts w:hint="eastAsia" w:ascii="宋体" w:hAnsi="宋体" w:cs="宋体"/>
          <w:sz w:val="32"/>
          <w:szCs w:val="32"/>
        </w:rPr>
        <w:t>；</w:t>
      </w:r>
      <w:r>
        <w:rPr>
          <w:rFonts w:hint="eastAsia" w:ascii="宋体" w:hAnsi="宋体" w:cs="宋体"/>
          <w:sz w:val="32"/>
          <w:szCs w:val="32"/>
          <w:lang w:val="en-US" w:eastAsia="zh-CN"/>
        </w:rPr>
        <w:t>与</w:t>
      </w:r>
      <w:r>
        <w:rPr>
          <w:rFonts w:hint="eastAsia" w:ascii="宋体" w:hAnsi="宋体" w:cs="宋体"/>
          <w:sz w:val="32"/>
          <w:szCs w:val="32"/>
        </w:rPr>
        <w:t>2017年度决算</w:t>
      </w:r>
      <w:r>
        <w:rPr>
          <w:rFonts w:hint="eastAsia" w:ascii="宋体" w:hAnsi="宋体" w:cs="宋体"/>
          <w:sz w:val="32"/>
          <w:szCs w:val="32"/>
          <w:lang w:val="en-US" w:eastAsia="zh-CN"/>
        </w:rPr>
        <w:t>持平</w:t>
      </w:r>
      <w:r>
        <w:rPr>
          <w:rFonts w:hint="eastAsia" w:ascii="宋体" w:hAnsi="宋体" w:cs="宋体"/>
          <w:sz w:val="32"/>
          <w:szCs w:val="32"/>
        </w:rPr>
        <w:t>。</w:t>
      </w:r>
    </w:p>
    <w:p>
      <w:pPr>
        <w:numPr>
          <w:ilvl w:val="0"/>
          <w:numId w:val="0"/>
        </w:num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lang w:val="en-US" w:eastAsia="zh-CN"/>
        </w:rPr>
        <w:t>42.50</w:t>
      </w:r>
      <w:r>
        <w:rPr>
          <w:rFonts w:eastAsia="楷体_GB2312"/>
          <w:b/>
          <w:bCs/>
          <w:sz w:val="32"/>
          <w:szCs w:val="32"/>
        </w:rPr>
        <w:t>万元。</w:t>
      </w:r>
      <w:r>
        <w:rPr>
          <w:rFonts w:hint="eastAsia" w:ascii="仿宋_GB2312" w:eastAsia="仿宋_GB2312" w:cs="DengXian-Regular"/>
          <w:sz w:val="32"/>
          <w:szCs w:val="32"/>
        </w:rPr>
        <w:t>本部门2018年度公务用车购置及运行维护费比年初预算</w:t>
      </w:r>
      <w:r>
        <w:rPr>
          <w:rFonts w:eastAsia="仿宋_GB2312"/>
          <w:sz w:val="32"/>
          <w:szCs w:val="32"/>
        </w:rPr>
        <w:t>减少</w:t>
      </w:r>
      <w:r>
        <w:rPr>
          <w:rFonts w:hint="eastAsia" w:eastAsia="仿宋_GB2312"/>
          <w:sz w:val="32"/>
          <w:szCs w:val="32"/>
          <w:lang w:val="en-US" w:eastAsia="zh-CN"/>
        </w:rPr>
        <w:t>19.4</w:t>
      </w:r>
      <w:r>
        <w:rPr>
          <w:rFonts w:eastAsia="仿宋_GB2312"/>
          <w:sz w:val="32"/>
          <w:szCs w:val="32"/>
        </w:rPr>
        <w:t>万元</w:t>
      </w:r>
      <w:r>
        <w:rPr>
          <w:rFonts w:hint="eastAsia" w:ascii="仿宋_GB2312" w:eastAsia="仿宋_GB2312" w:cs="DengXian-Regular"/>
          <w:sz w:val="32"/>
          <w:szCs w:val="32"/>
        </w:rPr>
        <w:t>，</w:t>
      </w:r>
      <w:r>
        <w:rPr>
          <w:rFonts w:eastAsia="仿宋_GB2312"/>
          <w:sz w:val="32"/>
          <w:szCs w:val="32"/>
        </w:rPr>
        <w:t>降低</w:t>
      </w:r>
      <w:r>
        <w:rPr>
          <w:rFonts w:hint="eastAsia" w:eastAsia="仿宋_GB2312"/>
          <w:sz w:val="32"/>
          <w:szCs w:val="32"/>
          <w:lang w:val="en-US" w:eastAsia="zh-CN"/>
        </w:rPr>
        <w:t>30</w:t>
      </w:r>
      <w:r>
        <w:rPr>
          <w:rFonts w:eastAsia="仿宋_GB2312"/>
          <w:sz w:val="32"/>
          <w:szCs w:val="32"/>
        </w:rPr>
        <w:t>%</w:t>
      </w:r>
      <w:r>
        <w:rPr>
          <w:rFonts w:hint="eastAsia" w:ascii="仿宋_GB2312" w:eastAsia="仿宋_GB2312" w:cs="DengXian-Regular"/>
          <w:sz w:val="32"/>
          <w:szCs w:val="32"/>
        </w:rPr>
        <w:t>,主要是运行维护费</w:t>
      </w:r>
      <w:r>
        <w:rPr>
          <w:rFonts w:hint="eastAsia" w:ascii="仿宋_GB2312" w:eastAsia="仿宋_GB2312" w:cs="DengXian-Regular"/>
          <w:sz w:val="32"/>
          <w:szCs w:val="32"/>
          <w:lang w:eastAsia="zh-CN"/>
        </w:rPr>
        <w:t>减少</w:t>
      </w:r>
      <w:r>
        <w:rPr>
          <w:rFonts w:hint="eastAsia" w:ascii="仿宋_GB2312" w:eastAsia="仿宋_GB2312" w:cs="DengXian-Regular"/>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22.44</w:t>
      </w:r>
      <w:r>
        <w:rPr>
          <w:rFonts w:eastAsia="仿宋_GB2312"/>
          <w:sz w:val="32"/>
          <w:szCs w:val="32"/>
        </w:rPr>
        <w:t>万元，降低</w:t>
      </w:r>
      <w:r>
        <w:rPr>
          <w:rFonts w:hint="eastAsia" w:eastAsia="仿宋_GB2312"/>
          <w:sz w:val="32"/>
          <w:szCs w:val="32"/>
          <w:lang w:val="en-US" w:eastAsia="zh-CN"/>
        </w:rPr>
        <w:t>35%</w:t>
      </w:r>
      <w:r>
        <w:rPr>
          <w:rFonts w:eastAsia="仿宋_GB2312"/>
          <w:sz w:val="32"/>
          <w:szCs w:val="32"/>
        </w:rPr>
        <w:t>，主要是</w:t>
      </w:r>
      <w:r>
        <w:rPr>
          <w:rFonts w:hint="eastAsia" w:ascii="仿宋_GB2312" w:eastAsia="仿宋_GB2312" w:cs="DengXian-Regular"/>
          <w:sz w:val="32"/>
          <w:szCs w:val="32"/>
        </w:rPr>
        <w:t>运行维护费</w:t>
      </w:r>
      <w:r>
        <w:rPr>
          <w:rFonts w:hint="eastAsia" w:ascii="仿宋_GB2312" w:eastAsia="仿宋_GB2312" w:cs="DengXian-Regular"/>
          <w:sz w:val="32"/>
          <w:szCs w:val="32"/>
          <w:lang w:eastAsia="zh-CN"/>
        </w:rPr>
        <w:t>减少</w:t>
      </w:r>
      <w:r>
        <w:rPr>
          <w:rFonts w:eastAsia="仿宋_GB2312"/>
          <w:sz w:val="32"/>
          <w:szCs w:val="32"/>
        </w:rPr>
        <w:t>。</w:t>
      </w:r>
      <w:r>
        <w:rPr>
          <w:rFonts w:eastAsia="仿宋_GB2312"/>
          <w:b/>
          <w:bCs/>
          <w:sz w:val="32"/>
          <w:szCs w:val="32"/>
        </w:rPr>
        <w:t>其中：</w:t>
      </w:r>
    </w:p>
    <w:p>
      <w:pPr>
        <w:adjustRightInd w:val="0"/>
        <w:snapToGrid w:val="0"/>
        <w:spacing w:line="584" w:lineRule="exact"/>
        <w:ind w:firstLine="643" w:firstLineChars="200"/>
        <w:rPr>
          <w:rFonts w:eastAsia="Times New Roman"/>
          <w:sz w:val="32"/>
          <w:szCs w:val="32"/>
          <w:highlight w:val="yellow"/>
        </w:rPr>
      </w:pPr>
      <w:r>
        <w:rPr>
          <w:rFonts w:eastAsia="仿宋_GB2312"/>
          <w:b/>
          <w:sz w:val="32"/>
          <w:szCs w:val="32"/>
        </w:rPr>
        <w:t>公务用车购置费支出</w:t>
      </w:r>
      <w:r>
        <w:rPr>
          <w:rFonts w:hint="eastAsia" w:eastAsia="仿宋_GB2312"/>
          <w:b/>
          <w:sz w:val="32"/>
          <w:szCs w:val="32"/>
          <w:lang w:val="en-US" w:eastAsia="zh-CN"/>
        </w:rPr>
        <w:t>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w:t>
      </w:r>
      <w:r>
        <w:rPr>
          <w:rFonts w:hint="eastAsia" w:eastAsia="仿宋_GB2312"/>
          <w:sz w:val="32"/>
          <w:szCs w:val="32"/>
          <w:lang w:val="en-US" w:eastAsia="zh-CN"/>
        </w:rPr>
        <w:t>0</w:t>
      </w:r>
      <w:r>
        <w:rPr>
          <w:rFonts w:eastAsia="仿宋_GB2312"/>
          <w:sz w:val="32"/>
          <w:szCs w:val="32"/>
        </w:rPr>
        <w:t>辆。</w:t>
      </w:r>
      <w:r>
        <w:rPr>
          <w:rFonts w:hint="eastAsia" w:ascii="??_GB2312" w:cs="DengXian-Regular"/>
          <w:sz w:val="32"/>
          <w:szCs w:val="32"/>
          <w:lang w:val="en-US" w:eastAsia="zh-CN"/>
        </w:rPr>
        <w:t>未发生</w:t>
      </w:r>
      <w:r>
        <w:rPr>
          <w:rFonts w:hint="eastAsia" w:ascii="宋体" w:hAnsi="宋体" w:cs="宋体"/>
          <w:sz w:val="32"/>
          <w:szCs w:val="32"/>
          <w:lang w:val="en-US" w:eastAsia="zh-CN"/>
        </w:rPr>
        <w:t>公务用车购置费</w:t>
      </w:r>
      <w:r>
        <w:rPr>
          <w:rFonts w:hint="eastAsia" w:ascii="宋体" w:hAnsi="宋体" w:cs="宋体"/>
          <w:sz w:val="32"/>
          <w:szCs w:val="32"/>
        </w:rPr>
        <w:t>支出</w:t>
      </w:r>
      <w:r>
        <w:rPr>
          <w:rFonts w:hint="eastAsia" w:ascii="宋体" w:hAnsi="宋体" w:cs="宋体"/>
          <w:sz w:val="32"/>
          <w:szCs w:val="32"/>
          <w:lang w:eastAsia="zh-CN"/>
        </w:rPr>
        <w:t>，</w:t>
      </w:r>
      <w:r>
        <w:rPr>
          <w:rFonts w:hint="eastAsia" w:ascii="宋体" w:hAnsi="宋体" w:cs="宋体"/>
          <w:sz w:val="32"/>
          <w:szCs w:val="32"/>
          <w:lang w:val="en-US" w:eastAsia="zh-CN"/>
        </w:rPr>
        <w:t>较</w:t>
      </w:r>
      <w:r>
        <w:rPr>
          <w:rFonts w:hint="eastAsia" w:ascii="宋体" w:hAnsi="宋体" w:cs="宋体"/>
          <w:sz w:val="32"/>
          <w:szCs w:val="32"/>
        </w:rPr>
        <w:t>年初预算</w:t>
      </w:r>
      <w:r>
        <w:rPr>
          <w:rFonts w:hint="eastAsia" w:ascii="宋体" w:hAnsi="宋体" w:cs="宋体"/>
          <w:sz w:val="32"/>
          <w:szCs w:val="32"/>
          <w:lang w:val="en-US" w:eastAsia="zh-CN"/>
        </w:rPr>
        <w:t>无增减变化</w:t>
      </w:r>
      <w:r>
        <w:rPr>
          <w:rFonts w:hint="eastAsia" w:ascii="宋体" w:hAnsi="宋体" w:cs="宋体"/>
          <w:sz w:val="32"/>
          <w:szCs w:val="32"/>
        </w:rPr>
        <w:t>；</w:t>
      </w:r>
      <w:r>
        <w:rPr>
          <w:rFonts w:hint="eastAsia" w:ascii="宋体" w:hAnsi="宋体" w:cs="宋体"/>
          <w:sz w:val="32"/>
          <w:szCs w:val="32"/>
          <w:lang w:val="en-US" w:eastAsia="zh-CN"/>
        </w:rPr>
        <w:t>与</w:t>
      </w:r>
      <w:r>
        <w:rPr>
          <w:rFonts w:eastAsia="Times New Roman"/>
          <w:sz w:val="32"/>
          <w:szCs w:val="32"/>
        </w:rPr>
        <w:t>2017</w:t>
      </w:r>
      <w:r>
        <w:rPr>
          <w:rFonts w:hint="eastAsia" w:ascii="宋体" w:hAnsi="宋体" w:cs="宋体"/>
          <w:sz w:val="32"/>
          <w:szCs w:val="32"/>
        </w:rPr>
        <w:t>年度决算</w:t>
      </w:r>
      <w:r>
        <w:rPr>
          <w:rFonts w:hint="eastAsia" w:ascii="宋体" w:hAnsi="宋体" w:cs="宋体"/>
          <w:sz w:val="32"/>
          <w:szCs w:val="32"/>
          <w:lang w:val="en-US" w:eastAsia="zh-CN"/>
        </w:rPr>
        <w:t>持平</w:t>
      </w:r>
      <w:r>
        <w:rPr>
          <w:rFonts w:hint="eastAsia" w:ascii="宋体" w:hAnsi="宋体" w:cs="宋体"/>
          <w:sz w:val="32"/>
          <w:szCs w:val="32"/>
        </w:rPr>
        <w:t>。</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公务用车运行维护费支出</w:t>
      </w:r>
      <w:r>
        <w:rPr>
          <w:rFonts w:hint="eastAsia" w:eastAsia="仿宋_GB2312"/>
          <w:b/>
          <w:sz w:val="32"/>
          <w:szCs w:val="32"/>
          <w:lang w:val="en-US" w:eastAsia="zh-CN"/>
        </w:rPr>
        <w:t>42.50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年末单位公务用车保有量</w:t>
      </w:r>
      <w:r>
        <w:rPr>
          <w:rFonts w:hint="eastAsia" w:eastAsia="仿宋_GB2312"/>
          <w:sz w:val="32"/>
          <w:szCs w:val="32"/>
          <w:lang w:val="en-US" w:eastAsia="zh-CN"/>
        </w:rPr>
        <w:t>29</w:t>
      </w:r>
      <w:r>
        <w:rPr>
          <w:rFonts w:eastAsia="仿宋_GB2312"/>
          <w:sz w:val="32"/>
          <w:szCs w:val="32"/>
        </w:rPr>
        <w:t>辆。公车运行维护费支出</w:t>
      </w:r>
      <w:r>
        <w:rPr>
          <w:rFonts w:hint="eastAsia" w:eastAsia="仿宋_GB2312"/>
          <w:sz w:val="32"/>
          <w:szCs w:val="32"/>
        </w:rPr>
        <w:t>比</w:t>
      </w:r>
      <w:r>
        <w:rPr>
          <w:rFonts w:eastAsia="仿宋_GB2312"/>
          <w:sz w:val="32"/>
          <w:szCs w:val="32"/>
        </w:rPr>
        <w:t>年初预算</w:t>
      </w:r>
      <w:r>
        <w:rPr>
          <w:rFonts w:hint="eastAsia" w:eastAsia="仿宋_GB2312"/>
          <w:sz w:val="32"/>
          <w:szCs w:val="32"/>
          <w:lang w:eastAsia="zh-CN"/>
        </w:rPr>
        <w:t>持平</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22.44</w:t>
      </w:r>
      <w:r>
        <w:rPr>
          <w:rFonts w:eastAsia="仿宋_GB2312"/>
          <w:sz w:val="32"/>
          <w:szCs w:val="32"/>
        </w:rPr>
        <w:t>万元，降低</w:t>
      </w:r>
      <w:r>
        <w:rPr>
          <w:rFonts w:hint="eastAsia" w:eastAsia="仿宋_GB2312"/>
          <w:sz w:val="32"/>
          <w:szCs w:val="32"/>
          <w:lang w:val="en-US" w:eastAsia="zh-CN"/>
        </w:rPr>
        <w:t>35</w:t>
      </w:r>
      <w:r>
        <w:rPr>
          <w:rFonts w:eastAsia="仿宋_GB2312"/>
          <w:sz w:val="32"/>
          <w:szCs w:val="32"/>
        </w:rPr>
        <w:t>%，主要是</w:t>
      </w:r>
      <w:r>
        <w:rPr>
          <w:rFonts w:hint="eastAsia" w:ascii="仿宋_GB2312" w:eastAsia="仿宋_GB2312" w:cs="DengXian-Regular"/>
          <w:sz w:val="32"/>
          <w:szCs w:val="32"/>
        </w:rPr>
        <w:t>运行维护费</w:t>
      </w:r>
      <w:r>
        <w:rPr>
          <w:rFonts w:hint="eastAsia" w:ascii="仿宋_GB2312" w:eastAsia="仿宋_GB2312" w:cs="DengXian-Regular"/>
          <w:sz w:val="32"/>
          <w:szCs w:val="32"/>
          <w:lang w:eastAsia="zh-CN"/>
        </w:rPr>
        <w:t>减少</w:t>
      </w:r>
      <w:r>
        <w:rPr>
          <w:rFonts w:eastAsia="仿宋_GB2312"/>
          <w:sz w:val="32"/>
          <w:szCs w:val="32"/>
        </w:rPr>
        <w:t>。</w:t>
      </w:r>
    </w:p>
    <w:p>
      <w:pPr>
        <w:adjustRightInd w:val="0"/>
        <w:snapToGrid w:val="0"/>
        <w:spacing w:line="584" w:lineRule="exact"/>
        <w:ind w:firstLine="643" w:firstLineChars="200"/>
        <w:rPr>
          <w:rFonts w:hint="eastAsia" w:eastAsia="仿宋_GB2312"/>
          <w:sz w:val="32"/>
          <w:szCs w:val="32"/>
          <w:highlight w:val="yellow"/>
          <w:lang w:eastAsia="zh-CN"/>
        </w:rPr>
      </w:pPr>
      <w:r>
        <w:rPr>
          <w:rFonts w:eastAsia="楷体_GB2312"/>
          <w:b/>
          <w:bCs/>
          <w:sz w:val="32"/>
          <w:szCs w:val="32"/>
        </w:rPr>
        <w:t>（三）公务接待费支出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lang w:val="en-US" w:eastAsia="zh-CN"/>
        </w:rPr>
        <w:t>0</w:t>
      </w:r>
      <w:r>
        <w:rPr>
          <w:rFonts w:eastAsia="仿宋_GB2312"/>
          <w:sz w:val="32"/>
          <w:szCs w:val="32"/>
        </w:rPr>
        <w:t>批次、</w:t>
      </w:r>
      <w:r>
        <w:rPr>
          <w:rFonts w:hint="eastAsia" w:eastAsia="仿宋_GB2312"/>
          <w:sz w:val="32"/>
          <w:szCs w:val="32"/>
          <w:lang w:val="en-US" w:eastAsia="zh-CN"/>
        </w:rPr>
        <w:t>0</w:t>
      </w:r>
      <w:r>
        <w:rPr>
          <w:rFonts w:eastAsia="仿宋_GB2312"/>
          <w:sz w:val="32"/>
          <w:szCs w:val="32"/>
        </w:rPr>
        <w:t>人次。公务接待费支出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3.04</w:t>
      </w:r>
      <w:r>
        <w:rPr>
          <w:rFonts w:eastAsia="仿宋_GB2312"/>
          <w:sz w:val="32"/>
          <w:szCs w:val="32"/>
        </w:rPr>
        <w:t>万元，降低</w:t>
      </w:r>
      <w:r>
        <w:rPr>
          <w:rFonts w:hint="eastAsia" w:eastAsia="仿宋_GB2312"/>
          <w:sz w:val="32"/>
          <w:szCs w:val="32"/>
          <w:lang w:val="en-US" w:eastAsia="zh-CN"/>
        </w:rPr>
        <w:t>100</w:t>
      </w:r>
      <w:r>
        <w:rPr>
          <w:rFonts w:eastAsia="仿宋_GB2312"/>
          <w:sz w:val="32"/>
          <w:szCs w:val="32"/>
        </w:rPr>
        <w:t>%，主要是</w:t>
      </w:r>
      <w:r>
        <w:rPr>
          <w:rFonts w:hint="eastAsia" w:ascii="宋体" w:hAnsi="宋体" w:cs="宋体"/>
          <w:sz w:val="32"/>
          <w:szCs w:val="32"/>
        </w:rPr>
        <w:t>厉行节约精神，规范管理，采取有效措施严格控制</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eastAsia="zh-CN"/>
        </w:rPr>
        <w:t>无增减变化。</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0" w:firstLineChars="200"/>
        <w:rPr>
          <w:rFonts w:hint="eastAsia"/>
        </w:rPr>
      </w:pPr>
      <w:r>
        <w:rPr>
          <w:rFonts w:hint="eastAsia" w:ascii="仿宋_GB2312" w:eastAsia="仿宋_GB2312" w:cs="DengXian-Regular"/>
          <w:sz w:val="32"/>
          <w:szCs w:val="32"/>
        </w:rPr>
        <w:t>（一）预算绩效管理工作开展情况。</w:t>
      </w:r>
      <w:r>
        <w:rPr>
          <w:rFonts w:hint="eastAsia" w:ascii="??_GB2312" w:eastAsia="Times New Roman" w:cs="DengXian-Regular"/>
          <w:sz w:val="32"/>
          <w:szCs w:val="32"/>
        </w:rPr>
        <w:t>根据绩效预算管理改革要求，本部门认真开展了预算绩效管理改革开展情况自查，对部门全面规范绩效预算编制、严格预算执行管理、推进绩效评价工作、推进预决算信息公开等方面进行了自评，考核结果为</w:t>
      </w:r>
      <w:r>
        <w:rPr>
          <w:rFonts w:hint="eastAsia" w:ascii="??_GB2312" w:cs="DengXian-Regular"/>
          <w:sz w:val="32"/>
          <w:szCs w:val="32"/>
          <w:lang w:eastAsia="zh-CN"/>
        </w:rPr>
        <w:t>良</w:t>
      </w:r>
      <w:r>
        <w:rPr>
          <w:rFonts w:hint="eastAsia"/>
        </w:rPr>
        <w:t>。</w:t>
      </w:r>
    </w:p>
    <w:p>
      <w:pPr>
        <w:adjustRightInd w:val="0"/>
        <w:snapToGrid w:val="0"/>
        <w:spacing w:after="0" w:line="580" w:lineRule="exact"/>
        <w:ind w:firstLine="640" w:firstLineChars="200"/>
        <w:rPr>
          <w:rFonts w:hint="eastAsia" w:ascii="仿宋_GB2312" w:eastAsia="仿宋_GB2312" w:cs="DengXian-Regular"/>
          <w:sz w:val="32"/>
          <w:szCs w:val="32"/>
          <w:highlight w:val="yellow"/>
        </w:rPr>
      </w:pPr>
    </w:p>
    <w:p>
      <w:pPr>
        <w:numPr>
          <w:ilvl w:val="0"/>
          <w:numId w:val="0"/>
        </w:numPr>
        <w:adjustRightInd w:val="0"/>
        <w:snapToGrid w:val="0"/>
        <w:spacing w:after="0" w:line="580" w:lineRule="exact"/>
        <w:ind w:firstLine="640" w:firstLineChars="200"/>
        <w:rPr>
          <w:rFonts w:hint="eastAsia" w:ascii="仿宋_GB2312" w:eastAsia="仿宋_GB2312" w:cs="DengXian-Regular"/>
          <w:sz w:val="32"/>
          <w:szCs w:val="32"/>
          <w:highlight w:val="yellow"/>
        </w:rPr>
      </w:pPr>
      <w:r>
        <w:rPr>
          <w:rFonts w:hint="eastAsia" w:ascii="仿宋_GB2312" w:eastAsia="仿宋_GB2312" w:cs="DengXian-Regular"/>
          <w:sz w:val="32"/>
          <w:szCs w:val="32"/>
          <w:lang w:eastAsia="zh-CN"/>
        </w:rPr>
        <w:t>（二）</w:t>
      </w:r>
      <w:r>
        <w:rPr>
          <w:rFonts w:hint="eastAsia" w:ascii="仿宋_GB2312" w:eastAsia="仿宋_GB2312" w:cs="DengXian-Regular"/>
          <w:sz w:val="32"/>
          <w:szCs w:val="32"/>
        </w:rPr>
        <w:t>项目绩效自评结果。</w:t>
      </w:r>
    </w:p>
    <w:p>
      <w:pPr>
        <w:adjustRightInd w:val="0"/>
        <w:snapToGrid w:val="0"/>
        <w:spacing w:line="584" w:lineRule="exact"/>
        <w:ind w:firstLine="640" w:firstLineChars="200"/>
        <w:rPr>
          <w:rFonts w:hint="eastAsia" w:ascii="宋体" w:hAnsi="宋体" w:cs="宋体"/>
          <w:sz w:val="32"/>
          <w:szCs w:val="32"/>
          <w:lang w:val="en-US" w:eastAsia="zh-CN"/>
        </w:rPr>
      </w:pPr>
      <w:r>
        <w:rPr>
          <w:rFonts w:hint="eastAsia" w:ascii="宋体" w:hAnsi="宋体" w:cs="宋体"/>
          <w:sz w:val="32"/>
          <w:szCs w:val="32"/>
          <w:lang w:val="en-US" w:eastAsia="zh-CN"/>
        </w:rPr>
        <w:t>根据绩效预算管理要求，本部门组织对 2018 年度一般公共预算项目支出全面开展绩效自评，涉及工商食药监管综合业务经费、开展流通领域商品质量监测经费、打击非法传销工作专项经费、成品油和车用尿素抽检工作、查处无照经营工作专项经费、食品及相关产品监督抽检工作经费、小餐桌综合治理工作经费、村街食药安全协管员经费、投诉举报打假办案工作奖励资金8个项目，涉及资金 519.75万元，绩效自评覆盖率达到 100%。</w:t>
      </w:r>
    </w:p>
    <w:p>
      <w:pPr>
        <w:adjustRightInd w:val="0"/>
        <w:snapToGrid w:val="0"/>
        <w:spacing w:line="584" w:lineRule="exact"/>
        <w:ind w:firstLine="640" w:firstLineChars="200"/>
        <w:rPr>
          <w:rFonts w:hint="eastAsia" w:ascii="宋体" w:hAnsi="宋体" w:cs="宋体"/>
          <w:sz w:val="32"/>
          <w:szCs w:val="32"/>
          <w:lang w:val="en-US" w:eastAsia="zh-CN"/>
        </w:rPr>
      </w:pPr>
      <w:r>
        <w:rPr>
          <w:rFonts w:hint="eastAsia" w:ascii="宋体" w:hAnsi="宋体" w:cs="宋体"/>
          <w:sz w:val="32"/>
          <w:szCs w:val="32"/>
          <w:lang w:val="en-US" w:eastAsia="zh-CN"/>
        </w:rPr>
        <w:t>从评价情况看，本部门社会效益良好，8个项目的绩效指标评价结果全部为优秀。通过绩效自评，2018年主要围绕食品药品安全管理、流通领域质量监督管理、消费者权益保护等进行开展绩效评价工作，各项工作绩效评价成绩良好。成效：基本达到了预期效果，被评价项目总体绩效目标明确，决策依据充分，项目管理较规范，项目完成良好。我局对食品及相关产品监督抽检工作经费项目进行绩效评价，该项目绩效目标为完成规划编制，健全规划体制资金分配科学合理，提高规划实施与监督管理效能。规划编制进度，动态监测报告完成率提高。</w:t>
      </w:r>
    </w:p>
    <w:p>
      <w:pPr>
        <w:numPr>
          <w:ilvl w:val="0"/>
          <w:numId w:val="0"/>
        </w:numPr>
        <w:adjustRightInd w:val="0"/>
        <w:snapToGrid w:val="0"/>
        <w:spacing w:after="0" w:line="580" w:lineRule="exact"/>
        <w:rPr>
          <w:rFonts w:hint="eastAsia" w:ascii="仿宋_GB2312" w:eastAsia="仿宋_GB2312" w:cs="DengXian-Regular"/>
          <w:sz w:val="32"/>
          <w:szCs w:val="32"/>
          <w:highlight w:val="yellow"/>
          <w:lang w:val="en-US" w:eastAsia="zh-CN"/>
        </w:rPr>
      </w:pPr>
    </w:p>
    <w:p>
      <w:pPr>
        <w:numPr>
          <w:ilvl w:val="0"/>
          <w:numId w:val="0"/>
        </w:numPr>
        <w:adjustRightInd w:val="0"/>
        <w:snapToGrid w:val="0"/>
        <w:spacing w:after="0" w:line="580" w:lineRule="exact"/>
        <w:ind w:firstLine="320" w:firstLineChars="100"/>
        <w:rPr>
          <w:rFonts w:eastAsia="仿宋_GB2312"/>
          <w:sz w:val="32"/>
          <w:szCs w:val="32"/>
          <w:highlight w:val="yellow"/>
        </w:rPr>
      </w:pPr>
      <w:r>
        <w:rPr>
          <w:rFonts w:hint="eastAsia" w:ascii="仿宋_GB2312" w:eastAsia="仿宋_GB2312" w:cs="DengXian-Regular"/>
          <w:sz w:val="32"/>
          <w:szCs w:val="32"/>
        </w:rPr>
        <w:t>重点项目绩效评价结果。</w:t>
      </w:r>
    </w:p>
    <w:p>
      <w:pPr>
        <w:adjustRightInd w:val="0"/>
        <w:snapToGrid w:val="0"/>
        <w:spacing w:line="584" w:lineRule="exact"/>
        <w:ind w:firstLine="640" w:firstLineChars="200"/>
        <w:rPr>
          <w:rFonts w:hint="eastAsia" w:ascii="宋体" w:hAnsi="宋体" w:cs="宋体"/>
          <w:sz w:val="32"/>
          <w:szCs w:val="32"/>
          <w:lang w:val="en-US" w:eastAsia="zh-CN"/>
        </w:rPr>
      </w:pPr>
      <w:r>
        <w:rPr>
          <w:rFonts w:hint="eastAsia" w:ascii="宋体" w:hAnsi="宋体" w:cs="宋体"/>
          <w:sz w:val="32"/>
          <w:szCs w:val="32"/>
          <w:lang w:val="en-US" w:eastAsia="zh-CN"/>
        </w:rPr>
        <w:t>本部门 2018 年度无民生项目和重点支出项目。</w:t>
      </w:r>
    </w:p>
    <w:p>
      <w:pPr>
        <w:numPr>
          <w:ilvl w:val="0"/>
          <w:numId w:val="0"/>
        </w:numPr>
        <w:adjustRightInd w:val="0"/>
        <w:snapToGrid w:val="0"/>
        <w:spacing w:after="0" w:line="580" w:lineRule="exact"/>
        <w:rPr>
          <w:rFonts w:eastAsia="仿宋_GB2312"/>
          <w:sz w:val="32"/>
          <w:szCs w:val="32"/>
          <w:highlight w:val="yellow"/>
        </w:rPr>
      </w:pP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本部门2018年度机关运行经费支出</w:t>
      </w:r>
      <w:r>
        <w:rPr>
          <w:rFonts w:hint="eastAsia" w:ascii="仿宋_GB2312" w:eastAsia="仿宋_GB2312" w:cs="DengXian-Regular"/>
          <w:sz w:val="32"/>
          <w:szCs w:val="32"/>
          <w:lang w:val="en-US" w:eastAsia="zh-CN"/>
        </w:rPr>
        <w:t>421.67</w:t>
      </w:r>
      <w:r>
        <w:rPr>
          <w:rFonts w:hint="eastAsia" w:ascii="仿宋_GB2312" w:eastAsia="仿宋_GB2312" w:cs="DengXian-Regular"/>
          <w:sz w:val="32"/>
          <w:szCs w:val="32"/>
        </w:rPr>
        <w:t>万元，比年初预算数减少</w:t>
      </w:r>
      <w:r>
        <w:rPr>
          <w:rFonts w:hint="eastAsia" w:ascii="仿宋_GB2312" w:eastAsia="仿宋_GB2312" w:cs="DengXian-Regular"/>
          <w:sz w:val="32"/>
          <w:szCs w:val="32"/>
          <w:lang w:val="en-US" w:eastAsia="zh-CN"/>
        </w:rPr>
        <w:t>3.16</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3</w:t>
      </w:r>
      <w:r>
        <w:rPr>
          <w:rFonts w:eastAsia="仿宋_GB2312"/>
          <w:sz w:val="32"/>
          <w:szCs w:val="32"/>
        </w:rPr>
        <w:t>%</w:t>
      </w:r>
      <w:r>
        <w:rPr>
          <w:rFonts w:hint="eastAsia" w:ascii="仿宋_GB2312" w:eastAsia="仿宋_GB2312" w:cs="DengXian-Regular"/>
          <w:sz w:val="32"/>
          <w:szCs w:val="32"/>
        </w:rPr>
        <w:t>。主要是</w:t>
      </w:r>
      <w:r>
        <w:rPr>
          <w:rFonts w:hint="eastAsia" w:ascii="宋体" w:hAnsi="宋体" w:eastAsia="宋体" w:cs="宋体"/>
          <w:b w:val="0"/>
          <w:bCs w:val="0"/>
          <w:kern w:val="2"/>
          <w:sz w:val="32"/>
          <w:szCs w:val="32"/>
          <w:lang w:val="en-US" w:eastAsia="zh-CN" w:bidi="ar-SA"/>
        </w:rPr>
        <w:t>人员退休公务交通费和移动通讯费减少</w:t>
      </w:r>
      <w:r>
        <w:rPr>
          <w:rFonts w:hint="eastAsia" w:ascii="仿宋_GB2312" w:eastAsia="仿宋_GB2312" w:cs="DengXian-Regular"/>
          <w:sz w:val="32"/>
          <w:szCs w:val="32"/>
        </w:rPr>
        <w:t>。</w:t>
      </w:r>
      <w:r>
        <w:rPr>
          <w:rFonts w:eastAsia="仿宋_GB2312"/>
          <w:sz w:val="32"/>
          <w:szCs w:val="32"/>
        </w:rPr>
        <w:t>较201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19.56</w:t>
      </w:r>
      <w:r>
        <w:rPr>
          <w:rFonts w:eastAsia="仿宋_GB2312"/>
          <w:sz w:val="32"/>
          <w:szCs w:val="32"/>
        </w:rPr>
        <w:t>万元，降低</w:t>
      </w:r>
      <w:r>
        <w:rPr>
          <w:rFonts w:hint="eastAsia" w:eastAsia="仿宋_GB2312"/>
          <w:sz w:val="32"/>
          <w:szCs w:val="32"/>
          <w:lang w:val="en-US" w:eastAsia="zh-CN"/>
        </w:rPr>
        <w:t>5</w:t>
      </w:r>
      <w:r>
        <w:rPr>
          <w:rFonts w:eastAsia="仿宋_GB2312"/>
          <w:sz w:val="32"/>
          <w:szCs w:val="32"/>
        </w:rPr>
        <w:t>%，主要是</w:t>
      </w:r>
      <w:r>
        <w:rPr>
          <w:rFonts w:hint="eastAsia" w:ascii="宋体" w:hAnsi="宋体" w:eastAsia="宋体" w:cs="宋体"/>
          <w:b w:val="0"/>
          <w:bCs w:val="0"/>
          <w:kern w:val="2"/>
          <w:sz w:val="32"/>
          <w:szCs w:val="32"/>
          <w:lang w:val="en-US" w:eastAsia="zh-CN" w:bidi="ar-SA"/>
        </w:rPr>
        <w:t>人员退休公务交通费和移动通讯费减少</w:t>
      </w:r>
      <w:r>
        <w:rPr>
          <w:rFonts w:eastAsia="仿宋_GB2312"/>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本部门2018年度政府采购支出总额</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 万元、政府采购工程支出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万元、政府采购服务支出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截至2018年12月31日，本部门共有车辆</w:t>
      </w:r>
      <w:r>
        <w:rPr>
          <w:rFonts w:hint="eastAsia" w:ascii="仿宋_GB2312" w:eastAsia="仿宋_GB2312" w:cs="DengXian-Regular"/>
          <w:sz w:val="32"/>
          <w:szCs w:val="32"/>
          <w:lang w:val="en-US" w:eastAsia="zh-CN"/>
        </w:rPr>
        <w:t>29</w:t>
      </w:r>
      <w:r>
        <w:rPr>
          <w:rFonts w:hint="eastAsia" w:ascii="仿宋_GB2312" w:eastAsia="仿宋_GB2312" w:cs="DengXian-Regular"/>
          <w:sz w:val="32"/>
          <w:szCs w:val="32"/>
        </w:rPr>
        <w:t>辆，比上年增减少</w:t>
      </w:r>
      <w:r>
        <w:rPr>
          <w:rFonts w:hint="eastAsia" w:ascii="仿宋_GB2312" w:eastAsia="仿宋_GB2312" w:cs="DengXian-Regular"/>
          <w:sz w:val="32"/>
          <w:szCs w:val="32"/>
          <w:lang w:val="en-US" w:eastAsia="zh-CN"/>
        </w:rPr>
        <w:t>5</w:t>
      </w:r>
      <w:r>
        <w:rPr>
          <w:rFonts w:hint="eastAsia" w:ascii="仿宋_GB2312" w:eastAsia="仿宋_GB2312" w:cs="DengXian-Regular"/>
          <w:sz w:val="32"/>
          <w:szCs w:val="32"/>
        </w:rPr>
        <w:t>辆，主要是</w:t>
      </w:r>
      <w:r>
        <w:rPr>
          <w:rFonts w:hint="eastAsia" w:ascii="仿宋_GB2312" w:eastAsia="仿宋_GB2312" w:cs="DengXian-Regular"/>
          <w:sz w:val="32"/>
          <w:szCs w:val="32"/>
          <w:lang w:eastAsia="zh-CN"/>
        </w:rPr>
        <w:t>核销处置</w:t>
      </w:r>
      <w:r>
        <w:rPr>
          <w:rFonts w:hint="eastAsia" w:ascii="仿宋_GB2312" w:eastAsia="仿宋_GB2312" w:cs="DengXian-Regular"/>
          <w:sz w:val="32"/>
          <w:szCs w:val="32"/>
          <w:lang w:val="en-US" w:eastAsia="zh-CN"/>
        </w:rPr>
        <w:t>5辆公务用车</w:t>
      </w:r>
      <w:r>
        <w:rPr>
          <w:rFonts w:hint="eastAsia" w:ascii="仿宋_GB2312" w:eastAsia="仿宋_GB2312" w:cs="DengXian-Regular"/>
          <w:sz w:val="32"/>
          <w:szCs w:val="32"/>
        </w:rPr>
        <w:t>。其中，副部（省）级及以上领导用车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辆，主要领导干部用车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辆，机要通信用车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辆，应急保障用车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辆，执法执勤用车</w:t>
      </w:r>
      <w:r>
        <w:rPr>
          <w:rFonts w:hint="eastAsia" w:ascii="仿宋_GB2312" w:eastAsia="仿宋_GB2312" w:cs="DengXian-Regular"/>
          <w:sz w:val="32"/>
          <w:szCs w:val="32"/>
          <w:lang w:val="en-US" w:eastAsia="zh-CN"/>
        </w:rPr>
        <w:t>29</w:t>
      </w:r>
      <w:r>
        <w:rPr>
          <w:rFonts w:hint="eastAsia" w:ascii="仿宋_GB2312" w:eastAsia="仿宋_GB2312" w:cs="DengXian-Regular"/>
          <w:sz w:val="32"/>
          <w:szCs w:val="32"/>
        </w:rPr>
        <w:t>辆，特种专业技术用车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辆，离退休干部用车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辆，其他用车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w:t>
      </w:r>
      <w:r>
        <w:rPr>
          <w:rFonts w:hint="eastAsia" w:ascii="宋体" w:hAnsi="宋体" w:eastAsia="宋体" w:cs="宋体"/>
          <w:b w:val="0"/>
          <w:bCs w:val="0"/>
          <w:kern w:val="2"/>
          <w:sz w:val="32"/>
          <w:szCs w:val="32"/>
          <w:lang w:val="en-US" w:eastAsia="zh-CN" w:bidi="ar-SA"/>
        </w:rPr>
        <w:t>较上年无增减变化</w:t>
      </w:r>
      <w:r>
        <w:rPr>
          <w:rFonts w:hint="eastAsia" w:ascii="宋体" w:hAnsi="宋体" w:cs="宋体"/>
          <w:b w:val="0"/>
          <w:bCs w:val="0"/>
          <w:kern w:val="2"/>
          <w:sz w:val="32"/>
          <w:szCs w:val="32"/>
          <w:lang w:val="en-US" w:eastAsia="zh-CN" w:bidi="ar-SA"/>
        </w:rPr>
        <w:t>，</w:t>
      </w:r>
      <w:r>
        <w:rPr>
          <w:rFonts w:hint="eastAsia" w:ascii="仿宋_GB2312" w:eastAsia="仿宋_GB2312" w:cs="DengXian-Regular"/>
          <w:sz w:val="32"/>
          <w:szCs w:val="32"/>
        </w:rPr>
        <w:t>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w:t>
      </w:r>
      <w:r>
        <w:rPr>
          <w:rFonts w:hint="eastAsia" w:ascii="仿宋_GB2312" w:eastAsia="仿宋_GB2312" w:cs="DengXian-Regular"/>
          <w:sz w:val="32"/>
          <w:szCs w:val="32"/>
          <w:lang w:eastAsia="zh-CN"/>
        </w:rPr>
        <w:t>，</w:t>
      </w:r>
      <w:r>
        <w:rPr>
          <w:rFonts w:hint="eastAsia" w:ascii="宋体" w:hAnsi="宋体" w:eastAsia="宋体" w:cs="宋体"/>
          <w:b w:val="0"/>
          <w:bCs w:val="0"/>
          <w:kern w:val="2"/>
          <w:sz w:val="32"/>
          <w:szCs w:val="32"/>
          <w:lang w:val="en-US" w:eastAsia="zh-CN" w:bidi="ar-SA"/>
        </w:rPr>
        <w:t xml:space="preserve">较上年无增减变化 </w:t>
      </w:r>
      <w:r>
        <w:rPr>
          <w:rFonts w:hint="eastAsia" w:ascii="宋体" w:hAnsi="宋体" w:cs="宋体"/>
          <w:b w:val="0"/>
          <w:bCs w:val="0"/>
          <w:kern w:val="2"/>
          <w:sz w:val="32"/>
          <w:szCs w:val="32"/>
          <w:lang w:val="en-US" w:eastAsia="zh-CN" w:bidi="ar-SA"/>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pStyle w:val="4"/>
        <w:spacing w:before="0" w:after="0" w:line="580" w:lineRule="exact"/>
        <w:ind w:firstLine="640" w:firstLineChars="200"/>
        <w:rPr>
          <w:rFonts w:hint="eastAsia" w:ascii="仿宋_GB2312" w:hAnsi="Times New Roman" w:eastAsia="仿宋_GB2312" w:cs="DengXian-Regular"/>
          <w:b w:val="0"/>
          <w:bCs w:val="0"/>
          <w:kern w:val="2"/>
          <w:sz w:val="32"/>
          <w:szCs w:val="32"/>
          <w:lang w:val="en-US" w:eastAsia="zh-CN" w:bidi="ar-SA"/>
        </w:rPr>
      </w:pPr>
      <w:r>
        <w:rPr>
          <w:rFonts w:hint="eastAsia" w:ascii="仿宋_GB2312" w:hAnsi="Times New Roman" w:eastAsia="仿宋_GB2312" w:cs="DengXian-Regular"/>
          <w:b w:val="0"/>
          <w:bCs w:val="0"/>
          <w:kern w:val="2"/>
          <w:sz w:val="32"/>
          <w:szCs w:val="32"/>
          <w:lang w:val="en-US" w:eastAsia="zh-CN" w:bidi="ar-SA"/>
        </w:rPr>
        <w:t>1、本部门2018年度无政府性基金情况，故政府性基金预算财政拨款收入支出决算表表以空表列示；国有资本经营预算财政拨款无支出情况，故国有资本经营预算财政拨款支出决算表以空表列示；本部门无政府采购支出，故政府采购情况表以空表列示。</w:t>
      </w:r>
    </w:p>
    <w:p>
      <w:pPr>
        <w:adjustRightInd w:val="0"/>
        <w:snapToGrid w:val="0"/>
        <w:spacing w:after="0" w:line="580" w:lineRule="exact"/>
        <w:ind w:firstLine="640" w:firstLineChars="200"/>
        <w:rPr>
          <w:rFonts w:hint="eastAsia" w:ascii="仿宋_GB2312" w:hAnsi="Times New Roman" w:eastAsia="仿宋_GB2312" w:cs="DengXian-Regular"/>
          <w:b w:val="0"/>
          <w:bCs w:val="0"/>
          <w:kern w:val="2"/>
          <w:sz w:val="32"/>
          <w:szCs w:val="32"/>
          <w:lang w:val="en-US" w:eastAsia="zh-CN" w:bidi="ar-SA"/>
        </w:rPr>
      </w:pP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ascii="宋体" w:hAnsi="宋体" w:eastAsia="宋体" w:cs="MS-UIGothic,Bold"/>
          <w:b/>
          <w:bCs/>
          <w:kern w:val="0"/>
          <w:sz w:val="44"/>
          <w:szCs w:val="44"/>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olor w:val="000000"/>
          <w:sz w:val="96"/>
          <w:szCs w:val="96"/>
        </w:rPr>
        <w:t>第四部分</w:t>
      </w:r>
    </w:p>
    <w:p>
      <w:pPr>
        <w:widowControl/>
        <w:spacing w:line="1200" w:lineRule="exact"/>
        <w:jc w:val="center"/>
        <w:rPr>
          <w:color w:val="000000"/>
          <w:sz w:val="96"/>
          <w:szCs w:val="96"/>
        </w:rPr>
      </w:pPr>
      <w:r>
        <w:rPr>
          <w:rFonts w:hint="eastAsia" w:ascii="黑体" w:hAnsi="宋体" w:eastAsia="黑体"/>
          <w:color w:val="000000"/>
          <w:sz w:val="96"/>
          <w:szCs w:val="96"/>
        </w:rPr>
        <w:t>名词解释</w:t>
      </w:r>
    </w:p>
    <w:p>
      <w:pPr>
        <w:rPr>
          <w:rFonts w:ascii="宋体" w:hAnsi="宋体" w:cs="ArialUnicodeMS"/>
          <w:color w:val="000000"/>
          <w:kern w:val="0"/>
        </w:rPr>
        <w:sectPr>
          <w:pgSz w:w="11906" w:h="16838"/>
          <w:pgMar w:top="2098" w:right="1474" w:bottom="1984" w:left="1588" w:header="851" w:footer="992" w:gutter="0"/>
          <w:cols w:space="720" w:num="1"/>
          <w:docGrid w:type="lines" w:linePitch="312" w:charSpace="0"/>
        </w:sectPr>
      </w:pP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（十）资本性支出（基本建设）：</w:t>
      </w:r>
      <w:r>
        <w:rPr>
          <w:rFonts w:hint="eastAsia" w:ascii="仿宋_GB2312" w:hAnsi="宋体"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（十一）资本性支出：</w:t>
      </w:r>
      <w:r>
        <w:rPr>
          <w:rFonts w:hint="eastAsia" w:ascii="仿宋_GB2312" w:hAnsi="宋体"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rPr>
          <w:rFonts w:ascii="仿宋_GB2312" w:hAnsi="Cambria" w:eastAsia="仿宋_GB2312" w:cs="ArialUnicodeMS"/>
          <w:kern w:val="0"/>
          <w:sz w:val="32"/>
          <w:szCs w:val="32"/>
        </w:rPr>
      </w:pPr>
    </w:p>
    <w:sectPr>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_GB2312">
    <w:altName w:val="Courier New"/>
    <w:panose1 w:val="00000000000000000000"/>
    <w:charset w:val="00"/>
    <w:family w:val="auto"/>
    <w:pitch w:val="default"/>
    <w:sig w:usb0="00000000" w:usb1="00000000" w:usb2="00000000" w:usb3="00000000" w:csb0="00000001" w:csb1="00000000"/>
  </w:font>
  <w:font w:name="ArialUnicodeMS">
    <w:altName w:val="Malgun Gothic"/>
    <w:panose1 w:val="00000000000000000000"/>
    <w:charset w:val="81"/>
    <w:family w:val="auto"/>
    <w:pitch w:val="default"/>
    <w:sig w:usb0="00000000" w:usb1="00000000" w:usb2="00000010" w:usb3="00000000" w:csb0="00080001" w:csb1="00000000"/>
  </w:font>
  <w:font w:name="MS-UIGothic,Bold">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auto"/>
    <w:pitch w:val="default"/>
    <w:sig w:usb0="E0002EFF" w:usb1="C0007843" w:usb2="00000009" w:usb3="00000000" w:csb0="400001FF" w:csb1="FFFF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DE0802F"/>
    <w:multiLevelType w:val="singleLevel"/>
    <w:tmpl w:val="5DE0802F"/>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3C1413"/>
    <w:rsid w:val="00020FAF"/>
    <w:rsid w:val="00022474"/>
    <w:rsid w:val="00024E7F"/>
    <w:rsid w:val="000475A0"/>
    <w:rsid w:val="00067693"/>
    <w:rsid w:val="000838C3"/>
    <w:rsid w:val="000B2446"/>
    <w:rsid w:val="000D7C65"/>
    <w:rsid w:val="000E2F81"/>
    <w:rsid w:val="00101F8D"/>
    <w:rsid w:val="00117946"/>
    <w:rsid w:val="00117E2C"/>
    <w:rsid w:val="00146C47"/>
    <w:rsid w:val="00152FB8"/>
    <w:rsid w:val="00176658"/>
    <w:rsid w:val="0018239E"/>
    <w:rsid w:val="001B3410"/>
    <w:rsid w:val="001B7503"/>
    <w:rsid w:val="001C030D"/>
    <w:rsid w:val="001C4A84"/>
    <w:rsid w:val="001E5902"/>
    <w:rsid w:val="00233705"/>
    <w:rsid w:val="00246D99"/>
    <w:rsid w:val="00257266"/>
    <w:rsid w:val="00262306"/>
    <w:rsid w:val="00275CA2"/>
    <w:rsid w:val="002A65A5"/>
    <w:rsid w:val="002C04C4"/>
    <w:rsid w:val="002D08B0"/>
    <w:rsid w:val="002D1AE3"/>
    <w:rsid w:val="002F2ECE"/>
    <w:rsid w:val="00341C8F"/>
    <w:rsid w:val="0035463A"/>
    <w:rsid w:val="00391D9D"/>
    <w:rsid w:val="003B6C51"/>
    <w:rsid w:val="003C1413"/>
    <w:rsid w:val="003C549F"/>
    <w:rsid w:val="003D5A16"/>
    <w:rsid w:val="003E7DB3"/>
    <w:rsid w:val="00431175"/>
    <w:rsid w:val="004374A3"/>
    <w:rsid w:val="00493686"/>
    <w:rsid w:val="004B6E37"/>
    <w:rsid w:val="004C32BA"/>
    <w:rsid w:val="004C68EF"/>
    <w:rsid w:val="00575922"/>
    <w:rsid w:val="005A3C0D"/>
    <w:rsid w:val="005A6C90"/>
    <w:rsid w:val="005B37E6"/>
    <w:rsid w:val="005E3FB0"/>
    <w:rsid w:val="005F4B66"/>
    <w:rsid w:val="005F5208"/>
    <w:rsid w:val="00615C31"/>
    <w:rsid w:val="00641318"/>
    <w:rsid w:val="0064405D"/>
    <w:rsid w:val="00695557"/>
    <w:rsid w:val="006D4EA7"/>
    <w:rsid w:val="0070012A"/>
    <w:rsid w:val="0070664B"/>
    <w:rsid w:val="007071B8"/>
    <w:rsid w:val="007155C2"/>
    <w:rsid w:val="007414DE"/>
    <w:rsid w:val="00760C0C"/>
    <w:rsid w:val="007905A9"/>
    <w:rsid w:val="007E072B"/>
    <w:rsid w:val="007E5500"/>
    <w:rsid w:val="007F055B"/>
    <w:rsid w:val="00811C2F"/>
    <w:rsid w:val="00833D46"/>
    <w:rsid w:val="00836215"/>
    <w:rsid w:val="00840A97"/>
    <w:rsid w:val="00872B02"/>
    <w:rsid w:val="00873292"/>
    <w:rsid w:val="008A640A"/>
    <w:rsid w:val="008C0149"/>
    <w:rsid w:val="008D5DED"/>
    <w:rsid w:val="008E25CA"/>
    <w:rsid w:val="008F34FC"/>
    <w:rsid w:val="00944CD7"/>
    <w:rsid w:val="00961190"/>
    <w:rsid w:val="009831B2"/>
    <w:rsid w:val="009A1ABE"/>
    <w:rsid w:val="009E21A4"/>
    <w:rsid w:val="009F22C6"/>
    <w:rsid w:val="00A07E50"/>
    <w:rsid w:val="00A12C15"/>
    <w:rsid w:val="00A15397"/>
    <w:rsid w:val="00A35CE0"/>
    <w:rsid w:val="00A4462E"/>
    <w:rsid w:val="00A44AA4"/>
    <w:rsid w:val="00A61623"/>
    <w:rsid w:val="00A84687"/>
    <w:rsid w:val="00AA0458"/>
    <w:rsid w:val="00AB0A0E"/>
    <w:rsid w:val="00AD3B6E"/>
    <w:rsid w:val="00AF6D31"/>
    <w:rsid w:val="00B1751F"/>
    <w:rsid w:val="00B50F96"/>
    <w:rsid w:val="00B56722"/>
    <w:rsid w:val="00B67044"/>
    <w:rsid w:val="00B74D39"/>
    <w:rsid w:val="00B827C6"/>
    <w:rsid w:val="00B91DA4"/>
    <w:rsid w:val="00BA7174"/>
    <w:rsid w:val="00C12630"/>
    <w:rsid w:val="00C34562"/>
    <w:rsid w:val="00C3774E"/>
    <w:rsid w:val="00C57456"/>
    <w:rsid w:val="00C65387"/>
    <w:rsid w:val="00C87FAB"/>
    <w:rsid w:val="00C91FF7"/>
    <w:rsid w:val="00C92D15"/>
    <w:rsid w:val="00C94E53"/>
    <w:rsid w:val="00CE3FC3"/>
    <w:rsid w:val="00D0048E"/>
    <w:rsid w:val="00D23E7A"/>
    <w:rsid w:val="00D56D8F"/>
    <w:rsid w:val="00D61063"/>
    <w:rsid w:val="00DB35AF"/>
    <w:rsid w:val="00DD72D7"/>
    <w:rsid w:val="00DF5B88"/>
    <w:rsid w:val="00E0589E"/>
    <w:rsid w:val="00E0697F"/>
    <w:rsid w:val="00E241FA"/>
    <w:rsid w:val="00E2595E"/>
    <w:rsid w:val="00E35374"/>
    <w:rsid w:val="00E50C19"/>
    <w:rsid w:val="00E64655"/>
    <w:rsid w:val="00E73081"/>
    <w:rsid w:val="00E856C9"/>
    <w:rsid w:val="00EA4F68"/>
    <w:rsid w:val="00EB6A8B"/>
    <w:rsid w:val="00EC6814"/>
    <w:rsid w:val="00ED411D"/>
    <w:rsid w:val="00EF38C6"/>
    <w:rsid w:val="00F679C7"/>
    <w:rsid w:val="00F7711A"/>
    <w:rsid w:val="00F80C72"/>
    <w:rsid w:val="00FA0D58"/>
    <w:rsid w:val="00FA1580"/>
    <w:rsid w:val="00FA56F4"/>
    <w:rsid w:val="00FB4EDA"/>
    <w:rsid w:val="00FD3BD5"/>
    <w:rsid w:val="00FE3DC8"/>
    <w:rsid w:val="013F747B"/>
    <w:rsid w:val="04073F84"/>
    <w:rsid w:val="0B60750A"/>
    <w:rsid w:val="10686488"/>
    <w:rsid w:val="10DF728A"/>
    <w:rsid w:val="1264200E"/>
    <w:rsid w:val="141C5B77"/>
    <w:rsid w:val="18D8339D"/>
    <w:rsid w:val="1A21388F"/>
    <w:rsid w:val="1A570D2F"/>
    <w:rsid w:val="28FB0B8D"/>
    <w:rsid w:val="2AFF0DD8"/>
    <w:rsid w:val="2D2B7942"/>
    <w:rsid w:val="2D46481D"/>
    <w:rsid w:val="2E733B28"/>
    <w:rsid w:val="31852B5A"/>
    <w:rsid w:val="32D01238"/>
    <w:rsid w:val="3AF37DD4"/>
    <w:rsid w:val="3DFC59A8"/>
    <w:rsid w:val="3E0110BC"/>
    <w:rsid w:val="3E4F6027"/>
    <w:rsid w:val="3ECF245E"/>
    <w:rsid w:val="3FB96314"/>
    <w:rsid w:val="421B77C0"/>
    <w:rsid w:val="42A41C2A"/>
    <w:rsid w:val="51C67537"/>
    <w:rsid w:val="523F6892"/>
    <w:rsid w:val="53A44FAF"/>
    <w:rsid w:val="558042DF"/>
    <w:rsid w:val="594329EC"/>
    <w:rsid w:val="5BEE1540"/>
    <w:rsid w:val="5DE61A5D"/>
    <w:rsid w:val="62891E24"/>
    <w:rsid w:val="63243269"/>
    <w:rsid w:val="63C04243"/>
    <w:rsid w:val="649C01C7"/>
    <w:rsid w:val="65F83266"/>
    <w:rsid w:val="699A3F60"/>
    <w:rsid w:val="6C014E7F"/>
    <w:rsid w:val="72902E62"/>
    <w:rsid w:val="73C61104"/>
    <w:rsid w:val="753A1BF5"/>
    <w:rsid w:val="776452EA"/>
    <w:rsid w:val="781E4B84"/>
    <w:rsid w:val="78F44A9E"/>
    <w:rsid w:val="7AE05ECA"/>
    <w:rsid w:val="7DC663B9"/>
    <w:rsid w:val="7E890388"/>
    <w:rsid w:val="7FD2103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0"/>
    <w:unhideWhenUsed/>
    <w:qFormat/>
    <w:uiPriority w:val="9"/>
    <w:pPr>
      <w:keepNext/>
      <w:keepLines/>
      <w:spacing w:before="260" w:after="260" w:line="416" w:lineRule="auto"/>
      <w:outlineLvl w:val="1"/>
    </w:pPr>
    <w:rPr>
      <w:rFonts w:ascii="Calibri" w:hAnsi="Calibri" w:eastAsia="宋体" w:cs="黑体"/>
      <w:b/>
      <w:bCs/>
      <w:sz w:val="32"/>
      <w:szCs w:val="32"/>
    </w:rPr>
  </w:style>
  <w:style w:type="paragraph" w:styleId="4">
    <w:name w:val="heading 3"/>
    <w:basedOn w:val="1"/>
    <w:next w:val="1"/>
    <w:link w:val="31"/>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2"/>
    <w:unhideWhenUsed/>
    <w:qFormat/>
    <w:uiPriority w:val="9"/>
    <w:pPr>
      <w:keepNext/>
      <w:keepLines/>
      <w:spacing w:before="280" w:after="290" w:line="376" w:lineRule="auto"/>
      <w:outlineLvl w:val="3"/>
    </w:pPr>
    <w:rPr>
      <w:rFonts w:ascii="Calibri" w:hAnsi="Calibri" w:eastAsia="宋体" w:cs="黑体"/>
      <w:b/>
      <w:bCs/>
      <w:sz w:val="28"/>
      <w:szCs w:val="28"/>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6">
    <w:name w:val="Date"/>
    <w:basedOn w:val="1"/>
    <w:next w:val="1"/>
    <w:link w:val="33"/>
    <w:unhideWhenUsed/>
    <w:qFormat/>
    <w:uiPriority w:val="99"/>
    <w:pPr>
      <w:ind w:left="100" w:leftChars="2500"/>
    </w:pPr>
  </w:style>
  <w:style w:type="paragraph" w:styleId="7">
    <w:name w:val="Balloon Text"/>
    <w:basedOn w:val="1"/>
    <w:link w:val="21"/>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rFonts w:ascii="Cambria" w:hAnsi="Cambria" w:eastAsia="黑体" w:cs="黑体"/>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rFonts w:ascii="Cambria" w:hAnsi="Cambria" w:eastAsia="黑体" w:cs="黑体"/>
      <w:sz w:val="18"/>
      <w:szCs w:val="18"/>
    </w:rPr>
  </w:style>
  <w:style w:type="paragraph" w:styleId="10">
    <w:name w:val="Subtitle"/>
    <w:basedOn w:val="1"/>
    <w:next w:val="1"/>
    <w:link w:val="23"/>
    <w:qFormat/>
    <w:uiPriority w:val="11"/>
    <w:pPr>
      <w:widowControl/>
      <w:spacing w:after="200" w:line="276" w:lineRule="auto"/>
      <w:jc w:val="left"/>
    </w:pPr>
    <w:rPr>
      <w:rFonts w:ascii="Calibri" w:hAnsi="Calibri" w:eastAsia="宋体" w:cs="黑体"/>
      <w:i/>
      <w:iCs/>
      <w:color w:val="F0A22E"/>
      <w:spacing w:val="15"/>
      <w:kern w:val="0"/>
      <w:sz w:val="24"/>
    </w:rPr>
  </w:style>
  <w:style w:type="paragraph" w:styleId="11">
    <w:name w:val="Title"/>
    <w:basedOn w:val="1"/>
    <w:next w:val="1"/>
    <w:link w:val="22"/>
    <w:qFormat/>
    <w:uiPriority w:val="10"/>
    <w:pPr>
      <w:widowControl/>
      <w:pBdr>
        <w:bottom w:val="single" w:color="F0A22E" w:sz="8" w:space="4"/>
      </w:pBdr>
      <w:spacing w:after="300"/>
      <w:contextualSpacing/>
      <w:jc w:val="left"/>
    </w:pPr>
    <w:rPr>
      <w:rFonts w:ascii="Calibri" w:hAnsi="Calibri" w:eastAsia="宋体" w:cs="黑体"/>
      <w:color w:val="392B23"/>
      <w:spacing w:val="5"/>
      <w:kern w:val="28"/>
      <w:sz w:val="52"/>
      <w:szCs w:val="52"/>
    </w:rPr>
  </w:style>
  <w:style w:type="table" w:styleId="13">
    <w:name w:val="Table Grid"/>
    <w:basedOn w:val="12"/>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5">
    <w:name w:val="No Spacing"/>
    <w:link w:val="20"/>
    <w:qFormat/>
    <w:uiPriority w:val="1"/>
    <w:pPr>
      <w:spacing w:after="160" w:line="480" w:lineRule="auto"/>
    </w:pPr>
    <w:rPr>
      <w:rFonts w:ascii="Cambria" w:hAnsi="Cambria" w:eastAsia="黑体" w:cs="黑体"/>
      <w:sz w:val="22"/>
      <w:szCs w:val="22"/>
      <w:lang w:val="en-US" w:eastAsia="zh-CN" w:bidi="ar-SA"/>
    </w:rPr>
  </w:style>
  <w:style w:type="paragraph" w:customStyle="1" w:styleId="16">
    <w:name w:val="List Paragraph"/>
    <w:basedOn w:val="1"/>
    <w:unhideWhenUsed/>
    <w:qFormat/>
    <w:uiPriority w:val="99"/>
    <w:pPr>
      <w:ind w:firstLine="420" w:firstLineChars="200"/>
    </w:pPr>
  </w:style>
  <w:style w:type="paragraph" w:customStyle="1" w:styleId="17">
    <w:name w:val="p0"/>
    <w:basedOn w:val="1"/>
    <w:qFormat/>
    <w:uiPriority w:val="0"/>
    <w:pPr>
      <w:widowControl/>
      <w:jc w:val="left"/>
    </w:pPr>
    <w:rPr>
      <w:rFonts w:ascii="宋体" w:hAnsi="宋体" w:cs="宋体"/>
      <w:kern w:val="0"/>
      <w:sz w:val="24"/>
      <w:szCs w:val="24"/>
    </w:rPr>
  </w:style>
  <w:style w:type="character" w:customStyle="1" w:styleId="18">
    <w:name w:val="页眉 Char"/>
    <w:basedOn w:val="14"/>
    <w:link w:val="9"/>
    <w:qFormat/>
    <w:uiPriority w:val="99"/>
    <w:rPr>
      <w:sz w:val="18"/>
      <w:szCs w:val="18"/>
    </w:rPr>
  </w:style>
  <w:style w:type="character" w:customStyle="1" w:styleId="19">
    <w:name w:val="页脚 Char"/>
    <w:basedOn w:val="14"/>
    <w:link w:val="8"/>
    <w:qFormat/>
    <w:uiPriority w:val="99"/>
    <w:rPr>
      <w:sz w:val="18"/>
      <w:szCs w:val="18"/>
    </w:rPr>
  </w:style>
  <w:style w:type="character" w:customStyle="1" w:styleId="20">
    <w:name w:val="无间隔 Char"/>
    <w:basedOn w:val="14"/>
    <w:link w:val="15"/>
    <w:qFormat/>
    <w:uiPriority w:val="1"/>
    <w:rPr>
      <w:kern w:val="0"/>
      <w:sz w:val="22"/>
    </w:rPr>
  </w:style>
  <w:style w:type="character" w:customStyle="1" w:styleId="21">
    <w:name w:val="批注框文本 Char"/>
    <w:basedOn w:val="14"/>
    <w:link w:val="7"/>
    <w:semiHidden/>
    <w:qFormat/>
    <w:uiPriority w:val="99"/>
    <w:rPr>
      <w:rFonts w:ascii="Times New Roman" w:hAnsi="Times New Roman" w:eastAsia="宋体" w:cs="Times New Roman"/>
      <w:sz w:val="18"/>
      <w:szCs w:val="18"/>
    </w:rPr>
  </w:style>
  <w:style w:type="character" w:customStyle="1" w:styleId="22">
    <w:name w:val="标题 Char"/>
    <w:basedOn w:val="14"/>
    <w:link w:val="11"/>
    <w:qFormat/>
    <w:uiPriority w:val="10"/>
    <w:rPr>
      <w:rFonts w:ascii="Calibri" w:hAnsi="Calibri" w:eastAsia="宋体" w:cs="黑体"/>
      <w:color w:val="392B23"/>
      <w:spacing w:val="5"/>
      <w:kern w:val="28"/>
      <w:sz w:val="52"/>
      <w:szCs w:val="52"/>
    </w:rPr>
  </w:style>
  <w:style w:type="character" w:customStyle="1" w:styleId="23">
    <w:name w:val="副标题 Char"/>
    <w:basedOn w:val="14"/>
    <w:link w:val="10"/>
    <w:qFormat/>
    <w:uiPriority w:val="11"/>
    <w:rPr>
      <w:rFonts w:ascii="Calibri" w:hAnsi="Calibri" w:eastAsia="宋体" w:cs="黑体"/>
      <w:i/>
      <w:iCs/>
      <w:color w:val="F0A22E"/>
      <w:spacing w:val="15"/>
      <w:kern w:val="0"/>
      <w:sz w:val="24"/>
      <w:szCs w:val="24"/>
    </w:rPr>
  </w:style>
  <w:style w:type="character" w:customStyle="1" w:styleId="24">
    <w:name w:val="Style1"/>
    <w:basedOn w:val="14"/>
    <w:qFormat/>
    <w:uiPriority w:val="1"/>
    <w:rPr>
      <w:rFonts w:ascii="Cambria" w:hAnsi="黑体" w:eastAsia="黑体" w:cs="黑体"/>
      <w:sz w:val="22"/>
      <w:szCs w:val="22"/>
      <w:lang w:eastAsia="zh-CN"/>
    </w:rPr>
  </w:style>
  <w:style w:type="character" w:customStyle="1" w:styleId="25">
    <w:name w:val="Style2"/>
    <w:basedOn w:val="14"/>
    <w:qFormat/>
    <w:uiPriority w:val="1"/>
    <w:rPr>
      <w:rFonts w:ascii="Cambria" w:hAnsi="黑体" w:eastAsia="黑体" w:cs="黑体"/>
      <w:sz w:val="22"/>
      <w:szCs w:val="22"/>
      <w:lang w:eastAsia="zh-CN"/>
    </w:rPr>
  </w:style>
  <w:style w:type="character" w:customStyle="1" w:styleId="26">
    <w:name w:val="Style3"/>
    <w:basedOn w:val="14"/>
    <w:qFormat/>
    <w:uiPriority w:val="1"/>
    <w:rPr>
      <w:rFonts w:ascii="Cambria" w:hAnsi="黑体" w:eastAsia="黑体" w:cs="黑体"/>
      <w:szCs w:val="22"/>
      <w:lang w:eastAsia="zh-CN"/>
    </w:rPr>
  </w:style>
  <w:style w:type="character" w:customStyle="1" w:styleId="27">
    <w:name w:val="Style4"/>
    <w:basedOn w:val="14"/>
    <w:qFormat/>
    <w:uiPriority w:val="1"/>
    <w:rPr>
      <w:rFonts w:ascii="Cambria" w:hAnsi="黑体" w:eastAsia="黑体" w:cs="黑体"/>
      <w:szCs w:val="22"/>
      <w:lang w:eastAsia="zh-CN"/>
    </w:rPr>
  </w:style>
  <w:style w:type="character" w:customStyle="1" w:styleId="28">
    <w:name w:val="Style5"/>
    <w:basedOn w:val="14"/>
    <w:qFormat/>
    <w:uiPriority w:val="1"/>
    <w:rPr>
      <w:rFonts w:ascii="Cambria" w:hAnsi="黑体" w:eastAsia="黑体" w:cs="黑体"/>
      <w:sz w:val="22"/>
      <w:szCs w:val="22"/>
      <w:lang w:eastAsia="zh-CN"/>
    </w:rPr>
  </w:style>
  <w:style w:type="character" w:customStyle="1" w:styleId="29">
    <w:name w:val="标题 1 Char"/>
    <w:basedOn w:val="14"/>
    <w:link w:val="2"/>
    <w:qFormat/>
    <w:uiPriority w:val="9"/>
    <w:rPr>
      <w:rFonts w:ascii="Times New Roman" w:hAnsi="Times New Roman" w:eastAsia="宋体" w:cs="Times New Roman"/>
      <w:b/>
      <w:bCs/>
      <w:kern w:val="44"/>
      <w:sz w:val="44"/>
      <w:szCs w:val="44"/>
    </w:rPr>
  </w:style>
  <w:style w:type="character" w:customStyle="1" w:styleId="30">
    <w:name w:val="标题 2 Char"/>
    <w:basedOn w:val="14"/>
    <w:link w:val="3"/>
    <w:qFormat/>
    <w:uiPriority w:val="9"/>
    <w:rPr>
      <w:rFonts w:ascii="Calibri" w:hAnsi="Calibri" w:eastAsia="宋体" w:cs="黑体"/>
      <w:b/>
      <w:bCs/>
      <w:sz w:val="32"/>
      <w:szCs w:val="32"/>
    </w:rPr>
  </w:style>
  <w:style w:type="character" w:customStyle="1" w:styleId="31">
    <w:name w:val="标题 3 Char"/>
    <w:basedOn w:val="14"/>
    <w:link w:val="4"/>
    <w:qFormat/>
    <w:uiPriority w:val="9"/>
    <w:rPr>
      <w:rFonts w:ascii="Times New Roman" w:hAnsi="Times New Roman" w:eastAsia="宋体" w:cs="Times New Roman"/>
      <w:b/>
      <w:bCs/>
      <w:sz w:val="32"/>
      <w:szCs w:val="32"/>
    </w:rPr>
  </w:style>
  <w:style w:type="character" w:customStyle="1" w:styleId="32">
    <w:name w:val="标题 4 Char"/>
    <w:basedOn w:val="14"/>
    <w:link w:val="5"/>
    <w:qFormat/>
    <w:uiPriority w:val="9"/>
    <w:rPr>
      <w:rFonts w:ascii="Calibri" w:hAnsi="Calibri" w:eastAsia="宋体" w:cs="黑体"/>
      <w:b/>
      <w:bCs/>
      <w:sz w:val="28"/>
      <w:szCs w:val="28"/>
    </w:rPr>
  </w:style>
  <w:style w:type="character" w:customStyle="1" w:styleId="33">
    <w:name w:val="日期 Char"/>
    <w:basedOn w:val="14"/>
    <w:link w:val="6"/>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1657</Words>
  <Characters>9446</Characters>
  <Lines>78</Lines>
  <Paragraphs>22</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Administrator</cp:lastModifiedBy>
  <cp:lastPrinted>2019-09-27T00:42:00Z</cp:lastPrinted>
  <dcterms:modified xsi:type="dcterms:W3CDTF">2021-05-26T02:29:49Z</dcterms:modified>
  <dc:subject>石家庄市xxx部门</dc:subject>
  <dc:title>2017年度部门决算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A28659B7D7F546149831645DA7F57326</vt:lpwstr>
  </property>
</Properties>
</file>